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80" w:hRule="exact"/>
        </w:trPr>
        <w:tc>
          <w:tcPr>
            <w:tcW w:type="dxa" w:w="9360"/>
            <w:tcBorders>
              <w:top w:val="none" w:sz="0"/>
              <w:left w:val="none" w:sz="0"/>
              <w:bottom w:val="none" w:sz="0"/>
              <w:right w:val="none" w:sz="0"/>
            </w:tcBorders>
            <w:shd w:fill="C5972C" w:val="clear"/>
          </w:tcPr>
          <w:p>
            <w:pPr>
              <w:spacing w:before="0" w:after="0"/>
            </w:pPr>
          </w:p>
        </w:tc>
      </w:tr>
    </w:tbl>
    <w:p>
      <w:pPr>
        <w:spacing w:before="120" w:after="0"/>
      </w:pPr>
    </w:p>
    <w:p>
      <w:pPr>
        <w:spacing w:before="0" w:after="40"/>
      </w:pPr>
      <w:r>
        <w:rPr>
          <w:rFonts w:ascii="Arial" w:cs="Arial" w:eastAsia="Arial" w:hAnsi="Arial"/>
          <w:b/>
          <w:bCs/>
          <w:color w:val="1B2A4A"/>
          <w:sz w:val="40"/>
          <w:szCs w:val="40"/>
        </w:rPr>
        <w:t xml:space="preserve">Audit Preparation Guide</w:t>
      </w:r>
    </w:p>
    <w:p>
      <w:pPr>
        <w:spacing w:before="0" w:after="80"/>
      </w:pPr>
      <w:r>
        <w:rPr>
          <w:rFonts w:ascii="Arial" w:cs="Arial" w:eastAsia="Arial" w:hAnsi="Arial"/>
          <w:color w:val="C5972C"/>
          <w:sz w:val="20"/>
          <w:szCs w:val="20"/>
        </w:rPr>
        <w:t xml:space="preserve">Step-by-Step DOT Audit Preparation  |  Driver Hiring &amp; Screening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40" w:hRule="exact"/>
        </w:trPr>
        <w:tc>
          <w:tcPr>
            <w:tcW w:type="dxa" w:w="9360"/>
            <w:tcBorders>
              <w:top w:val="none" w:sz="0"/>
              <w:left w:val="none" w:sz="0"/>
              <w:bottom w:val="none" w:sz="0"/>
              <w:right w:val="none" w:sz="0"/>
            </w:tcBorders>
            <w:shd w:fill="1B2A4A" w:val="clear"/>
          </w:tcPr>
          <w:p>
            <w:pPr>
              <w:spacing w:before="0" w:after="0"/>
            </w:pPr>
          </w:p>
        </w:tc>
      </w:tr>
    </w:tbl>
    <w:p>
      <w:pPr>
        <w:spacing w:before="100" w:after="0"/>
      </w:pPr>
    </w:p>
    <w:p>
      <w:pPr>
        <w:spacing w:before="0" w:after="80"/>
      </w:pPr>
      <w:r>
        <w:rPr>
          <w:rFonts w:ascii="Arial" w:cs="Arial" w:eastAsia="Arial" w:hAnsi="Arial"/>
          <w:color w:val="333333"/>
          <w:sz w:val="18"/>
          <w:szCs w:val="18"/>
        </w:rPr>
        <w:t xml:space="preserve">A DOT compliance review or audit can be triggered by a new entrant safety audit, a complaint investigation, a post-crash review, or a targeted enforcement action based on your Safety Measurement System (SMS) scores. Whether you have advance notice or receive a surprise visit, preparation is the key to a successful outcome. This guide provides a systematic, step-by-step approach to organizing your records, training your team, and addressing compliance gaps before an auditor arrives.</w:t>
      </w:r>
    </w:p>
    <w:p>
      <w:pPr>
        <w:spacing w:before="0" w:after="80"/>
      </w:pPr>
      <w:r>
        <w:rPr>
          <w:rFonts w:ascii="Arial" w:cs="Arial" w:eastAsia="Arial" w:hAnsi="Arial"/>
          <w:i/>
          <w:iCs/>
          <w:color w:val="555555"/>
          <w:sz w:val="17"/>
          <w:szCs w:val="17"/>
        </w:rPr>
        <w:t xml:space="preserve">This guide accompanies the Driver Hiring &amp; Screening resources and the DOT Compliance Checklist at firstunderwriters.com.</w:t>
      </w:r>
    </w:p>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WHO SHOULD USE THIS GUIDE</w:t>
            </w:r>
          </w:p>
        </w:tc>
      </w:tr>
    </w:tbl>
    <w:p>
      <w:pPr>
        <w:spacing w:before="60" w:after="0"/>
      </w:pPr>
    </w:p>
    <w:p>
      <w:pPr>
        <w:spacing w:before="0" w:after="60"/>
      </w:pPr>
      <w:r>
        <w:rPr>
          <w:rFonts w:ascii="Arial" w:cs="Arial" w:eastAsia="Arial" w:hAnsi="Arial"/>
          <w:color w:val="333333"/>
          <w:sz w:val="17"/>
          <w:szCs w:val="17"/>
        </w:rPr>
        <w:t xml:space="preserve">This guide is designed for safety managers, fleet managers, compliance officers, and business owners responsible for maintaining DOT compliance. It is structured as a countdown timeline that can be adapted to your specific audit notice period.</w:t>
      </w:r>
    </w:p>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TYPES OF DOT AUDITS</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4160"/>
        <w:gridCol w:w="3000"/>
      </w:tblGrid>
      <w:tr>
        <w:tc>
          <w:tcPr>
            <w:tcW w:type="dxa" w:w="2200"/>
            <w:tcBorders>
              <w:top w:val="single" w:color="D9D9D9" w:sz="1"/>
              <w:left w:val="single" w:color="D9D9D9" w:sz="1"/>
              <w:bottom w:val="single" w:color="D9D9D9" w:sz="1"/>
              <w:right w:val="single" w:color="D9D9D9" w:sz="1"/>
            </w:tcBorders>
            <w:shd w:fill="1B2A4A" w:val="clear"/>
            <w:tcMar>
              <w:top w:type="dxa" w:w="60"/>
              <w:left w:type="dxa" w:w="100"/>
              <w:bottom w:type="dxa" w:w="60"/>
              <w:right w:type="dxa" w:w="100"/>
            </w:tcMar>
            <w:vAlign w:val="center"/>
          </w:tcPr>
          <w:p>
            <w:pPr>
              <w:spacing w:before="0" w:after="0"/>
            </w:pPr>
            <w:r>
              <w:rPr>
                <w:rFonts w:ascii="Arial" w:cs="Arial" w:eastAsia="Arial" w:hAnsi="Arial"/>
                <w:b/>
                <w:bCs/>
                <w:color w:val="FFFFFF"/>
                <w:sz w:val="16"/>
                <w:szCs w:val="16"/>
              </w:rPr>
              <w:t xml:space="preserve">Audit Type</w:t>
            </w:r>
          </w:p>
        </w:tc>
        <w:tc>
          <w:tcPr>
            <w:tcW w:type="dxa" w:w="4160"/>
            <w:tcBorders>
              <w:top w:val="single" w:color="D9D9D9" w:sz="1"/>
              <w:left w:val="single" w:color="D9D9D9" w:sz="1"/>
              <w:bottom w:val="single" w:color="D9D9D9" w:sz="1"/>
              <w:right w:val="single" w:color="D9D9D9" w:sz="1"/>
            </w:tcBorders>
            <w:shd w:fill="1B2A4A" w:val="clear"/>
            <w:tcMar>
              <w:top w:type="dxa" w:w="60"/>
              <w:left w:type="dxa" w:w="100"/>
              <w:bottom w:type="dxa" w:w="60"/>
              <w:right w:type="dxa" w:w="100"/>
            </w:tcMar>
            <w:vAlign w:val="center"/>
          </w:tcPr>
          <w:p>
            <w:pPr>
              <w:spacing w:before="0" w:after="0"/>
            </w:pPr>
            <w:r>
              <w:rPr>
                <w:rFonts w:ascii="Arial" w:cs="Arial" w:eastAsia="Arial" w:hAnsi="Arial"/>
                <w:b/>
                <w:bCs/>
                <w:color w:val="FFFFFF"/>
                <w:sz w:val="16"/>
                <w:szCs w:val="16"/>
              </w:rPr>
              <w:t xml:space="preserve">Description</w:t>
            </w:r>
          </w:p>
        </w:tc>
        <w:tc>
          <w:tcPr>
            <w:tcW w:type="dxa" w:w="3000"/>
            <w:tcBorders>
              <w:top w:val="single" w:color="D9D9D9" w:sz="1"/>
              <w:left w:val="single" w:color="D9D9D9" w:sz="1"/>
              <w:bottom w:val="single" w:color="D9D9D9" w:sz="1"/>
              <w:right w:val="single" w:color="D9D9D9" w:sz="1"/>
            </w:tcBorders>
            <w:shd w:fill="1B2A4A" w:val="clear"/>
            <w:tcMar>
              <w:top w:type="dxa" w:w="60"/>
              <w:left w:type="dxa" w:w="100"/>
              <w:bottom w:type="dxa" w:w="60"/>
              <w:right w:type="dxa" w:w="100"/>
            </w:tcMar>
            <w:vAlign w:val="center"/>
          </w:tcPr>
          <w:p>
            <w:pPr>
              <w:spacing w:before="0" w:after="0"/>
            </w:pPr>
            <w:r>
              <w:rPr>
                <w:rFonts w:ascii="Arial" w:cs="Arial" w:eastAsia="Arial" w:hAnsi="Arial"/>
                <w:b/>
                <w:bCs/>
                <w:color w:val="FFFFFF"/>
                <w:sz w:val="16"/>
                <w:szCs w:val="16"/>
              </w:rPr>
              <w:t xml:space="preserve">Key Focus Areas</w:t>
            </w:r>
          </w:p>
        </w:tc>
      </w:tr>
      <w:tr>
        <w:tc>
          <w:tcPr>
            <w:tcW w:type="dxa" w:w="2200"/>
            <w:tcBorders>
              <w:top w:val="single" w:color="D9D9D9" w:sz="1"/>
              <w:left w:val="single" w:color="D9D9D9" w:sz="1"/>
              <w:bottom w:val="single" w:color="D9D9D9" w:sz="1"/>
              <w:right w:val="single" w:color="D9D9D9" w:sz="1"/>
            </w:tcBorders>
            <w:shd w:fill="F2F2F2" w:val="clear"/>
            <w:tcMar>
              <w:top w:type="dxa" w:w="60"/>
              <w:left w:type="dxa" w:w="100"/>
              <w:bottom w:type="dxa" w:w="60"/>
              <w:right w:type="dxa" w:w="100"/>
            </w:tcMar>
            <w:vAlign w:val="center"/>
          </w:tcPr>
          <w:p>
            <w:pPr>
              <w:spacing w:before="0" w:after="0"/>
            </w:pPr>
            <w:r>
              <w:rPr>
                <w:rFonts w:ascii="Arial" w:cs="Arial" w:eastAsia="Arial" w:hAnsi="Arial"/>
                <w:b/>
                <w:bCs/>
                <w:color w:val="1B2A4A"/>
                <w:sz w:val="16"/>
                <w:szCs w:val="16"/>
              </w:rPr>
              <w:t xml:space="preserve">New Entrant Safety Audit</w:t>
            </w:r>
          </w:p>
        </w:tc>
        <w:tc>
          <w:tcPr>
            <w:tcW w:type="dxa" w:w="4160"/>
            <w:tcBorders>
              <w:top w:val="single" w:color="D9D9D9" w:sz="1"/>
              <w:left w:val="single" w:color="D9D9D9" w:sz="1"/>
              <w:bottom w:val="single" w:color="D9D9D9" w:sz="1"/>
              <w:right w:val="single" w:color="D9D9D9" w:sz="1"/>
            </w:tcBorders>
            <w:shd w:fill="F2F2F2"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Required within 18 months of receiving USDOT number for interstate carriers</w:t>
            </w:r>
          </w:p>
        </w:tc>
        <w:tc>
          <w:tcPr>
            <w:tcW w:type="dxa" w:w="3000"/>
            <w:tcBorders>
              <w:top w:val="single" w:color="D9D9D9" w:sz="1"/>
              <w:left w:val="single" w:color="D9D9D9" w:sz="1"/>
              <w:bottom w:val="single" w:color="D9D9D9" w:sz="1"/>
              <w:right w:val="single" w:color="D9D9D9" w:sz="1"/>
            </w:tcBorders>
            <w:shd w:fill="F2F2F2"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All 6 BASIC categories; 16 core safety management controls</w:t>
            </w:r>
          </w:p>
        </w:tc>
      </w:tr>
      <w:tr>
        <w:tc>
          <w:tcPr>
            <w:tcW w:type="dxa" w:w="2200"/>
            <w:tcBorders>
              <w:top w:val="single" w:color="D9D9D9" w:sz="1"/>
              <w:left w:val="single" w:color="D9D9D9" w:sz="1"/>
              <w:bottom w:val="single" w:color="D9D9D9" w:sz="1"/>
              <w:right w:val="single" w:color="D9D9D9" w:sz="1"/>
            </w:tcBorders>
            <w:shd w:fill="FFFFFF" w:val="clear"/>
            <w:tcMar>
              <w:top w:type="dxa" w:w="60"/>
              <w:left w:type="dxa" w:w="100"/>
              <w:bottom w:type="dxa" w:w="60"/>
              <w:right w:type="dxa" w:w="100"/>
            </w:tcMar>
            <w:vAlign w:val="center"/>
          </w:tcPr>
          <w:p>
            <w:pPr>
              <w:spacing w:before="0" w:after="0"/>
            </w:pPr>
            <w:r>
              <w:rPr>
                <w:rFonts w:ascii="Arial" w:cs="Arial" w:eastAsia="Arial" w:hAnsi="Arial"/>
                <w:b/>
                <w:bCs/>
                <w:color w:val="1B2A4A"/>
                <w:sz w:val="16"/>
                <w:szCs w:val="16"/>
              </w:rPr>
              <w:t xml:space="preserve">Compliance Review (CR)</w:t>
            </w:r>
          </w:p>
        </w:tc>
        <w:tc>
          <w:tcPr>
            <w:tcW w:type="dxa" w:w="4160"/>
            <w:tcBorders>
              <w:top w:val="single" w:color="D9D9D9" w:sz="1"/>
              <w:left w:val="single" w:color="D9D9D9" w:sz="1"/>
              <w:bottom w:val="single" w:color="D9D9D9" w:sz="1"/>
              <w:right w:val="single" w:color="D9D9D9" w:sz="1"/>
            </w:tcBorders>
            <w:shd w:fill="FFFFFF"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Comprehensive on-site investigation triggered by SMS alerts, complaints, or crashes</w:t>
            </w:r>
          </w:p>
        </w:tc>
        <w:tc>
          <w:tcPr>
            <w:tcW w:type="dxa" w:w="3000"/>
            <w:tcBorders>
              <w:top w:val="single" w:color="D9D9D9" w:sz="1"/>
              <w:left w:val="single" w:color="D9D9D9" w:sz="1"/>
              <w:bottom w:val="single" w:color="D9D9D9" w:sz="1"/>
              <w:right w:val="single" w:color="D9D9D9" w:sz="1"/>
            </w:tcBorders>
            <w:shd w:fill="FFFFFF"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Driver files, D&amp;A records, HOS, vehicle maintenance, insurance</w:t>
            </w:r>
          </w:p>
        </w:tc>
      </w:tr>
      <w:tr>
        <w:tc>
          <w:tcPr>
            <w:tcW w:type="dxa" w:w="2200"/>
            <w:tcBorders>
              <w:top w:val="single" w:color="D9D9D9" w:sz="1"/>
              <w:left w:val="single" w:color="D9D9D9" w:sz="1"/>
              <w:bottom w:val="single" w:color="D9D9D9" w:sz="1"/>
              <w:right w:val="single" w:color="D9D9D9" w:sz="1"/>
            </w:tcBorders>
            <w:shd w:fill="F2F2F2" w:val="clear"/>
            <w:tcMar>
              <w:top w:type="dxa" w:w="60"/>
              <w:left w:type="dxa" w:w="100"/>
              <w:bottom w:type="dxa" w:w="60"/>
              <w:right w:type="dxa" w:w="100"/>
            </w:tcMar>
            <w:vAlign w:val="center"/>
          </w:tcPr>
          <w:p>
            <w:pPr>
              <w:spacing w:before="0" w:after="0"/>
            </w:pPr>
            <w:r>
              <w:rPr>
                <w:rFonts w:ascii="Arial" w:cs="Arial" w:eastAsia="Arial" w:hAnsi="Arial"/>
                <w:b/>
                <w:bCs/>
                <w:color w:val="1B2A4A"/>
                <w:sz w:val="16"/>
                <w:szCs w:val="16"/>
              </w:rPr>
              <w:t xml:space="preserve">Focused Investigation</w:t>
            </w:r>
          </w:p>
        </w:tc>
        <w:tc>
          <w:tcPr>
            <w:tcW w:type="dxa" w:w="4160"/>
            <w:tcBorders>
              <w:top w:val="single" w:color="D9D9D9" w:sz="1"/>
              <w:left w:val="single" w:color="D9D9D9" w:sz="1"/>
              <w:bottom w:val="single" w:color="D9D9D9" w:sz="1"/>
              <w:right w:val="single" w:color="D9D9D9" w:sz="1"/>
            </w:tcBorders>
            <w:shd w:fill="F2F2F2"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Targeted review of specific BASIC areas with elevated scores</w:t>
            </w:r>
          </w:p>
        </w:tc>
        <w:tc>
          <w:tcPr>
            <w:tcW w:type="dxa" w:w="3000"/>
            <w:tcBorders>
              <w:top w:val="single" w:color="D9D9D9" w:sz="1"/>
              <w:left w:val="single" w:color="D9D9D9" w:sz="1"/>
              <w:bottom w:val="single" w:color="D9D9D9" w:sz="1"/>
              <w:right w:val="single" w:color="D9D9D9" w:sz="1"/>
            </w:tcBorders>
            <w:shd w:fill="F2F2F2"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Only the deficient BASICs identified in SMS</w:t>
            </w:r>
          </w:p>
        </w:tc>
      </w:tr>
      <w:tr>
        <w:tc>
          <w:tcPr>
            <w:tcW w:type="dxa" w:w="2200"/>
            <w:tcBorders>
              <w:top w:val="single" w:color="D9D9D9" w:sz="1"/>
              <w:left w:val="single" w:color="D9D9D9" w:sz="1"/>
              <w:bottom w:val="single" w:color="D9D9D9" w:sz="1"/>
              <w:right w:val="single" w:color="D9D9D9" w:sz="1"/>
            </w:tcBorders>
            <w:shd w:fill="FFFFFF" w:val="clear"/>
            <w:tcMar>
              <w:top w:type="dxa" w:w="60"/>
              <w:left w:type="dxa" w:w="100"/>
              <w:bottom w:type="dxa" w:w="60"/>
              <w:right w:type="dxa" w:w="100"/>
            </w:tcMar>
            <w:vAlign w:val="center"/>
          </w:tcPr>
          <w:p>
            <w:pPr>
              <w:spacing w:before="0" w:after="0"/>
            </w:pPr>
            <w:r>
              <w:rPr>
                <w:rFonts w:ascii="Arial" w:cs="Arial" w:eastAsia="Arial" w:hAnsi="Arial"/>
                <w:b/>
                <w:bCs/>
                <w:color w:val="1B2A4A"/>
                <w:sz w:val="16"/>
                <w:szCs w:val="16"/>
              </w:rPr>
              <w:t xml:space="preserve">Off-Site Investigation</w:t>
            </w:r>
          </w:p>
        </w:tc>
        <w:tc>
          <w:tcPr>
            <w:tcW w:type="dxa" w:w="4160"/>
            <w:tcBorders>
              <w:top w:val="single" w:color="D9D9D9" w:sz="1"/>
              <w:left w:val="single" w:color="D9D9D9" w:sz="1"/>
              <w:bottom w:val="single" w:color="D9D9D9" w:sz="1"/>
              <w:right w:val="single" w:color="D9D9D9" w:sz="1"/>
            </w:tcBorders>
            <w:shd w:fill="FFFFFF"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Document request without on-site visit; records submitted electronically or by mail</w:t>
            </w:r>
          </w:p>
        </w:tc>
        <w:tc>
          <w:tcPr>
            <w:tcW w:type="dxa" w:w="3000"/>
            <w:tcBorders>
              <w:top w:val="single" w:color="D9D9D9" w:sz="1"/>
              <w:left w:val="single" w:color="D9D9D9" w:sz="1"/>
              <w:bottom w:val="single" w:color="D9D9D9" w:sz="1"/>
              <w:right w:val="single" w:color="D9D9D9" w:sz="1"/>
            </w:tcBorders>
            <w:shd w:fill="FFFFFF"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Same as CR but carrier sends records to FMCSA</w:t>
            </w:r>
          </w:p>
        </w:tc>
      </w:tr>
      <w:tr>
        <w:tc>
          <w:tcPr>
            <w:tcW w:type="dxa" w:w="2200"/>
            <w:tcBorders>
              <w:top w:val="single" w:color="D9D9D9" w:sz="1"/>
              <w:left w:val="single" w:color="D9D9D9" w:sz="1"/>
              <w:bottom w:val="single" w:color="D9D9D9" w:sz="1"/>
              <w:right w:val="single" w:color="D9D9D9" w:sz="1"/>
            </w:tcBorders>
            <w:shd w:fill="F2F2F2" w:val="clear"/>
            <w:tcMar>
              <w:top w:type="dxa" w:w="60"/>
              <w:left w:type="dxa" w:w="100"/>
              <w:bottom w:type="dxa" w:w="60"/>
              <w:right w:type="dxa" w:w="100"/>
            </w:tcMar>
            <w:vAlign w:val="center"/>
          </w:tcPr>
          <w:p>
            <w:pPr>
              <w:spacing w:before="0" w:after="0"/>
            </w:pPr>
            <w:r>
              <w:rPr>
                <w:rFonts w:ascii="Arial" w:cs="Arial" w:eastAsia="Arial" w:hAnsi="Arial"/>
                <w:b/>
                <w:bCs/>
                <w:color w:val="1B2A4A"/>
                <w:sz w:val="16"/>
                <w:szCs w:val="16"/>
              </w:rPr>
              <w:t xml:space="preserve">Post-Crash Review</w:t>
            </w:r>
          </w:p>
        </w:tc>
        <w:tc>
          <w:tcPr>
            <w:tcW w:type="dxa" w:w="4160"/>
            <w:tcBorders>
              <w:top w:val="single" w:color="D9D9D9" w:sz="1"/>
              <w:left w:val="single" w:color="D9D9D9" w:sz="1"/>
              <w:bottom w:val="single" w:color="D9D9D9" w:sz="1"/>
              <w:right w:val="single" w:color="D9D9D9" w:sz="1"/>
            </w:tcBorders>
            <w:shd w:fill="F2F2F2"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Triggered after a DOT-recordable crash; may escalate to full CR</w:t>
            </w:r>
          </w:p>
        </w:tc>
        <w:tc>
          <w:tcPr>
            <w:tcW w:type="dxa" w:w="3000"/>
            <w:tcBorders>
              <w:top w:val="single" w:color="D9D9D9" w:sz="1"/>
              <w:left w:val="single" w:color="D9D9D9" w:sz="1"/>
              <w:bottom w:val="single" w:color="D9D9D9" w:sz="1"/>
              <w:right w:val="single" w:color="D9D9D9" w:sz="1"/>
            </w:tcBorders>
            <w:shd w:fill="F2F2F2"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Crash-related driver files, vehicle records, HOS at time of crash</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PHASE 1: IMMEDIATE ACTIONS (30+ Days Before Audit)</w:t>
            </w:r>
          </w:p>
        </w:tc>
      </w:tr>
    </w:tbl>
    <w:p>
      <w:pPr>
        <w:spacing w:before="60" w:after="0"/>
      </w:pPr>
    </w:p>
    <w:p>
      <w:pPr>
        <w:spacing w:before="0" w:after="80"/>
      </w:pPr>
      <w:r>
        <w:rPr>
          <w:rFonts w:ascii="Arial" w:cs="Arial" w:eastAsia="Arial" w:hAnsi="Arial"/>
          <w:color w:val="333333"/>
          <w:sz w:val="17"/>
          <w:szCs w:val="17"/>
        </w:rPr>
        <w:t xml:space="preserve">These foundational steps should begin as soon as you receive audit notification or suspect a review may be forthcoming based on your CSA/SMS scores.</w:t>
      </w:r>
    </w:p>
    <w:p>
      <w:pPr>
        <w:spacing w:before="2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1.1  Designate an Audit Coordinator</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Assign Point Person</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Designate a single individual as the primary audit coordinator responsible for organizing all documentation and serving as the auditor's main contact.</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1</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Management</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390.11</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Brief Leadership</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Inform all managers and supervisors about the upcoming audit. Establish communication protocols and chain of command for audit-related requests.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1–2</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Secure Workspace</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Prepare a clean, organized workspace where the auditor can review files. Ensure a private area with table, chairs, power outlets, and internet access.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1</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1.2  Assess Current Compliance Status</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Run SMS Snapshot</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Pull your current Safety Measurement System (SMS) results from the FMCSA SAFER website. Identify which BASICs are above intervention thresholds.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1–3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385.3</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5</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Self-Audit with Checklist</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Complete the DOT Compliance Checklist (companion document) across all 10 sections. Document all non-compliant items with target correction dates.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1–2</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6</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Identify High-Priority Gaps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Categorize findings as High (regulatory violation), Medium (30-day fix), or Low (improvement). Address all High items immediately.</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2</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7</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Review DataQs History</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Check for any pending DataQs challenges or disputed violations. File DataQs for any incorrect records before the audit.</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2</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385.15</w:t>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80"/>
              <w:left w:type="dxa" w:w="140"/>
              <w:bottom w:type="dxa" w:w="80"/>
              <w:right w:type="dxa" w:w="140"/>
            </w:tcMar>
            <w:vAlign w:val="center"/>
          </w:tcPr>
          <w:p>
            <w:pPr>
              <w:spacing w:before="0" w:after="0"/>
            </w:pPr>
            <w:r>
              <w:rPr>
                <w:rFonts w:ascii="Arial" w:cs="Arial" w:eastAsia="Arial" w:hAnsi="Arial"/>
                <w:b/>
                <w:bCs/>
                <w:color w:val="C5972C"/>
                <w:sz w:val="16"/>
                <w:szCs w:val="16"/>
              </w:rPr>
              <w:t xml:space="preserve">INSIDER TIP:  </w:t>
            </w:r>
            <w:r>
              <w:rPr>
                <w:rFonts w:ascii="Arial" w:cs="Arial" w:eastAsia="Arial" w:hAnsi="Arial"/>
                <w:color w:val="333333"/>
                <w:sz w:val="16"/>
                <w:szCs w:val="16"/>
              </w:rPr>
              <w:t xml:space="preserve">Request your Pre-Authorization Report (PAR) from FMCSA before the audit. This shows exactly which records the auditor will want to review, giving you a targeted preparation list.</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1.3  Driver Qualification File (DQF) Review</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8</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Inventory All DQFs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Create a master list of every active driver. Verify each has a complete qualification file per 49 CFR 391.51.</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1–2</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HR / Safety</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391.51</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9</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Verify Applications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Confirm every file contains a completed application with 10 years of employment history signed by the driver.</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2</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HR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391.21</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10</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Pull Fresh MVRs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Obtain current MVRs for every driver. Grade each against your MVR Grading Matrix. Flag any disqualifying violations.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2–3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391.25</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11</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Verify Medical Cards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Confirm every driver's medical examiner's certificate is current and from a National Registry-listed examiner.</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2</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HR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391.43</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12</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Road Test Certs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Verify road test certificates or equivalent (previous employer letter) are on file for every driver.</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2–3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391.31</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13</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Annual Certifications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Confirm annual driver's certification of violations is current for each driver.</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2–3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391.27</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14</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Clearinghouse Queries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Verify pre-employment full query and annual limited queries are documented for all CDL drivers.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2–3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382.701</w:t>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00"/>
        <w:gridCol w:w="6760"/>
        <w:gridCol w:w="2200"/>
      </w:tblGrid>
      <w:tr>
        <w:tc>
          <w:tcPr>
            <w:tcW w:type="dxa" w:w="4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
            </w:r>
          </w:p>
        </w:tc>
        <w:tc>
          <w:tcPr>
            <w:tcW w:type="dxa" w:w="6760"/>
            <w:tcBorders>
              <w:top w:val="single" w:color="D9D9D9" w:sz="1"/>
              <w:left w:val="single" w:color="D9D9D9" w:sz="1"/>
              <w:bottom w:val="single" w:color="D9D9D9" w:sz="1"/>
              <w:right w:val="single" w:color="D9D9D9" w:sz="1"/>
            </w:tcBorders>
            <w:shd w:fill="1B2A4A" w:val="clear"/>
            <w:tcMar>
              <w:top w:type="dxa" w:w="60"/>
              <w:left w:type="dxa" w:w="100"/>
              <w:bottom w:type="dxa" w:w="60"/>
              <w:right w:type="dxa" w:w="100"/>
            </w:tcMar>
            <w:vAlign w:val="center"/>
          </w:tcPr>
          <w:p>
            <w:pPr>
              <w:spacing w:before="0" w:after="0"/>
            </w:pPr>
            <w:r>
              <w:rPr>
                <w:rFonts w:ascii="Arial" w:cs="Arial" w:eastAsia="Arial" w:hAnsi="Arial"/>
                <w:b/>
                <w:bCs/>
                <w:color w:val="FFFFFF"/>
                <w:sz w:val="16"/>
                <w:szCs w:val="16"/>
              </w:rPr>
              <w:t xml:space="preserve">Item</w:t>
            </w:r>
          </w:p>
        </w:tc>
        <w:tc>
          <w:tcPr>
            <w:tcW w:type="dxa" w:w="22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Status / Notes</w:t>
            </w:r>
          </w:p>
        </w:tc>
      </w:tr>
      <w:tr>
        <w:tc>
          <w:tcPr>
            <w:tcW w:type="dxa" w:w="4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sz w:val="16"/>
                <w:szCs w:val="16"/>
              </w:rPr>
              <w:t xml:space="preserve">[ ]</w:t>
            </w:r>
          </w:p>
        </w:tc>
        <w:tc>
          <w:tcPr>
            <w:tcW w:type="dxa" w:w="67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Employment application (10-yr history, signed)</w:t>
            </w:r>
          </w:p>
        </w:tc>
        <w:tc>
          <w:tcPr>
            <w:tcW w:type="dxa" w:w="22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pPr>
            <w:r>
              <w:rPr>
                <w:rFonts w:ascii="Arial" w:cs="Arial" w:eastAsia="Arial" w:hAnsi="Arial"/>
                <w:color w:val="555555"/>
                <w:sz w:val="15"/>
                <w:szCs w:val="15"/>
              </w:rPr>
              <w:t xml:space="preserve"/>
            </w:r>
          </w:p>
        </w:tc>
      </w:tr>
      <w:tr>
        <w:tc>
          <w:tcPr>
            <w:tcW w:type="dxa" w:w="4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sz w:val="16"/>
                <w:szCs w:val="16"/>
              </w:rPr>
              <w:t xml:space="preserve">[ ]</w:t>
            </w:r>
          </w:p>
        </w:tc>
        <w:tc>
          <w:tcPr>
            <w:tcW w:type="dxa" w:w="67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Previous employer verification (3 years)</w:t>
            </w:r>
          </w:p>
        </w:tc>
        <w:tc>
          <w:tcPr>
            <w:tcW w:type="dxa" w:w="22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pPr>
            <w:r>
              <w:rPr>
                <w:rFonts w:ascii="Arial" w:cs="Arial" w:eastAsia="Arial" w:hAnsi="Arial"/>
                <w:color w:val="555555"/>
                <w:sz w:val="15"/>
                <w:szCs w:val="15"/>
              </w:rPr>
              <w:t xml:space="preserve"/>
            </w:r>
          </w:p>
        </w:tc>
      </w:tr>
      <w:tr>
        <w:tc>
          <w:tcPr>
            <w:tcW w:type="dxa" w:w="4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sz w:val="16"/>
                <w:szCs w:val="16"/>
              </w:rPr>
              <w:t xml:space="preserve">[ ]</w:t>
            </w:r>
          </w:p>
        </w:tc>
        <w:tc>
          <w:tcPr>
            <w:tcW w:type="dxa" w:w="67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MVR — annual pull, reviewed and graded</w:t>
            </w:r>
          </w:p>
        </w:tc>
        <w:tc>
          <w:tcPr>
            <w:tcW w:type="dxa" w:w="22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pPr>
            <w:r>
              <w:rPr>
                <w:rFonts w:ascii="Arial" w:cs="Arial" w:eastAsia="Arial" w:hAnsi="Arial"/>
                <w:color w:val="555555"/>
                <w:sz w:val="15"/>
                <w:szCs w:val="15"/>
              </w:rPr>
              <w:t xml:space="preserve"/>
            </w:r>
          </w:p>
        </w:tc>
      </w:tr>
      <w:tr>
        <w:tc>
          <w:tcPr>
            <w:tcW w:type="dxa" w:w="4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sz w:val="16"/>
                <w:szCs w:val="16"/>
              </w:rPr>
              <w:t xml:space="preserve">[ ]</w:t>
            </w:r>
          </w:p>
        </w:tc>
        <w:tc>
          <w:tcPr>
            <w:tcW w:type="dxa" w:w="67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Road test certificate or equivalent</w:t>
            </w:r>
          </w:p>
        </w:tc>
        <w:tc>
          <w:tcPr>
            <w:tcW w:type="dxa" w:w="22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pPr>
            <w:r>
              <w:rPr>
                <w:rFonts w:ascii="Arial" w:cs="Arial" w:eastAsia="Arial" w:hAnsi="Arial"/>
                <w:color w:val="555555"/>
                <w:sz w:val="15"/>
                <w:szCs w:val="15"/>
              </w:rPr>
              <w:t xml:space="preserve"/>
            </w:r>
          </w:p>
        </w:tc>
      </w:tr>
      <w:tr>
        <w:tc>
          <w:tcPr>
            <w:tcW w:type="dxa" w:w="4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sz w:val="16"/>
                <w:szCs w:val="16"/>
              </w:rPr>
              <w:t xml:space="preserve">[ ]</w:t>
            </w:r>
          </w:p>
        </w:tc>
        <w:tc>
          <w:tcPr>
            <w:tcW w:type="dxa" w:w="67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Medical examiner's certificate (current, NRCME listed)</w:t>
            </w:r>
          </w:p>
        </w:tc>
        <w:tc>
          <w:tcPr>
            <w:tcW w:type="dxa" w:w="22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pPr>
            <w:r>
              <w:rPr>
                <w:rFonts w:ascii="Arial" w:cs="Arial" w:eastAsia="Arial" w:hAnsi="Arial"/>
                <w:color w:val="555555"/>
                <w:sz w:val="15"/>
                <w:szCs w:val="15"/>
              </w:rPr>
              <w:t xml:space="preserve"/>
            </w:r>
          </w:p>
        </w:tc>
      </w:tr>
      <w:tr>
        <w:tc>
          <w:tcPr>
            <w:tcW w:type="dxa" w:w="4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sz w:val="16"/>
                <w:szCs w:val="16"/>
              </w:rPr>
              <w:t xml:space="preserve">[ ]</w:t>
            </w:r>
          </w:p>
        </w:tc>
        <w:tc>
          <w:tcPr>
            <w:tcW w:type="dxa" w:w="67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Pre-employment drug test result (negative)</w:t>
            </w:r>
          </w:p>
        </w:tc>
        <w:tc>
          <w:tcPr>
            <w:tcW w:type="dxa" w:w="22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pPr>
            <w:r>
              <w:rPr>
                <w:rFonts w:ascii="Arial" w:cs="Arial" w:eastAsia="Arial" w:hAnsi="Arial"/>
                <w:color w:val="555555"/>
                <w:sz w:val="15"/>
                <w:szCs w:val="15"/>
              </w:rPr>
              <w:t xml:space="preserve"/>
            </w:r>
          </w:p>
        </w:tc>
      </w:tr>
      <w:tr>
        <w:tc>
          <w:tcPr>
            <w:tcW w:type="dxa" w:w="4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sz w:val="16"/>
                <w:szCs w:val="16"/>
              </w:rPr>
              <w:t xml:space="preserve">[ ]</w:t>
            </w:r>
          </w:p>
        </w:tc>
        <w:tc>
          <w:tcPr>
            <w:tcW w:type="dxa" w:w="67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Clearinghouse full query (pre-employment)</w:t>
            </w:r>
          </w:p>
        </w:tc>
        <w:tc>
          <w:tcPr>
            <w:tcW w:type="dxa" w:w="22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pPr>
            <w:r>
              <w:rPr>
                <w:rFonts w:ascii="Arial" w:cs="Arial" w:eastAsia="Arial" w:hAnsi="Arial"/>
                <w:color w:val="555555"/>
                <w:sz w:val="15"/>
                <w:szCs w:val="15"/>
              </w:rPr>
              <w:t xml:space="preserve"/>
            </w:r>
          </w:p>
        </w:tc>
      </w:tr>
      <w:tr>
        <w:tc>
          <w:tcPr>
            <w:tcW w:type="dxa" w:w="4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sz w:val="16"/>
                <w:szCs w:val="16"/>
              </w:rPr>
              <w:t xml:space="preserve">[ ]</w:t>
            </w:r>
          </w:p>
        </w:tc>
        <w:tc>
          <w:tcPr>
            <w:tcW w:type="dxa" w:w="67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Clearinghouse limited query (annual)</w:t>
            </w:r>
          </w:p>
        </w:tc>
        <w:tc>
          <w:tcPr>
            <w:tcW w:type="dxa" w:w="22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pPr>
            <w:r>
              <w:rPr>
                <w:rFonts w:ascii="Arial" w:cs="Arial" w:eastAsia="Arial" w:hAnsi="Arial"/>
                <w:color w:val="555555"/>
                <w:sz w:val="15"/>
                <w:szCs w:val="15"/>
              </w:rPr>
              <w:t xml:space="preserve"/>
            </w:r>
          </w:p>
        </w:tc>
      </w:tr>
      <w:tr>
        <w:tc>
          <w:tcPr>
            <w:tcW w:type="dxa" w:w="4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sz w:val="16"/>
                <w:szCs w:val="16"/>
              </w:rPr>
              <w:t xml:space="preserve">[ ]</w:t>
            </w:r>
          </w:p>
        </w:tc>
        <w:tc>
          <w:tcPr>
            <w:tcW w:type="dxa" w:w="67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Annual driver certification of violations</w:t>
            </w:r>
          </w:p>
        </w:tc>
        <w:tc>
          <w:tcPr>
            <w:tcW w:type="dxa" w:w="22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pPr>
            <w:r>
              <w:rPr>
                <w:rFonts w:ascii="Arial" w:cs="Arial" w:eastAsia="Arial" w:hAnsi="Arial"/>
                <w:color w:val="555555"/>
                <w:sz w:val="15"/>
                <w:szCs w:val="15"/>
              </w:rPr>
              <w:t xml:space="preserve"/>
            </w:r>
          </w:p>
        </w:tc>
      </w:tr>
      <w:tr>
        <w:tc>
          <w:tcPr>
            <w:tcW w:type="dxa" w:w="4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sz w:val="16"/>
                <w:szCs w:val="16"/>
              </w:rPr>
              <w:t xml:space="preserve">[ ]</w:t>
            </w:r>
          </w:p>
        </w:tc>
        <w:tc>
          <w:tcPr>
            <w:tcW w:type="dxa" w:w="67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Driver license copy (current CDL)</w:t>
            </w:r>
          </w:p>
        </w:tc>
        <w:tc>
          <w:tcPr>
            <w:tcW w:type="dxa" w:w="22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pPr>
            <w:r>
              <w:rPr>
                <w:rFonts w:ascii="Arial" w:cs="Arial" w:eastAsia="Arial" w:hAnsi="Arial"/>
                <w:color w:val="555555"/>
                <w:sz w:val="15"/>
                <w:szCs w:val="15"/>
              </w:rPr>
              <w:t xml:space="preserve"/>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PHASE 2: RECORD ORGANIZATION (14–30 Days Before Audit)</w:t>
            </w:r>
          </w:p>
        </w:tc>
      </w:tr>
    </w:tbl>
    <w:p>
      <w:pPr>
        <w:spacing w:before="60" w:after="0"/>
      </w:pPr>
    </w:p>
    <w:p>
      <w:pPr>
        <w:spacing w:before="0" w:after="80"/>
      </w:pPr>
      <w:r>
        <w:rPr>
          <w:rFonts w:ascii="Arial" w:cs="Arial" w:eastAsia="Arial" w:hAnsi="Arial"/>
          <w:color w:val="333333"/>
          <w:sz w:val="17"/>
          <w:szCs w:val="17"/>
        </w:rPr>
        <w:t xml:space="preserve">With the initial assessment complete, focus now shifts to organizing records so they are complete, accurate, and readily accessible to the auditor.</w:t>
      </w:r>
    </w:p>
    <w:p>
      <w:pPr>
        <w:spacing w:before="2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2.1  Drug &amp; Alcohol Program Records</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15</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Verify D&amp;A Policy</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Confirm written drug and alcohol policy is current, distributed to all drivers, and signed acknowledgment is on file.</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382.601</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16</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Compile Test Records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Organize all testing records by type: pre-employment, random, post-accident, reasonable suspicion, return-to-duty, follow-up.</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DER / C/TPA</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382.401</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17</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Random Pool Audit</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Verify random testing pool includes 100% of CDL-holding employees. Confirm selection rates meet minimums (50% drug, 10% alcohol).</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C/TPA</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382.305</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18</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Supervisor Training</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Confirm at least 60 minutes of reasonable suspicion training for drug awareness and 60 minutes for alcohol awareness for all supervisors.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382.603</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19</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Clearinghouse Report</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Generate a Clearinghouse employer report showing all queries, violations reported, and driver status.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382.705</w:t>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2.2  Hours of Service &amp; ELD Records</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20</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ELD Compliance Check</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Verify all ELDs are FMCSA-registered, on the approved device list, and functioning properly. Test data transfer capability.</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Fleet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395.22</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21</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Audit ELD Data</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Review 6 months of ELD data for common violations: form &amp; manner errors, unassigned driving time, and HOS violations.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395.8</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22</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Supporting Documents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Verify supporting documents (fuel receipts, toll records, shipping docs) are maintained and match ELD records.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Dispatch</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395.11</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23</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HOS Training Records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Confirm drivers have been trained on proper ELD use, editing procedures, and HOS rules. Document training dates.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395.22(g)</w:t>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80"/>
              <w:left w:type="dxa" w:w="140"/>
              <w:bottom w:type="dxa" w:w="80"/>
              <w:right w:type="dxa" w:w="140"/>
            </w:tcMar>
            <w:vAlign w:val="center"/>
          </w:tcPr>
          <w:p>
            <w:pPr>
              <w:spacing w:before="0" w:after="0"/>
            </w:pPr>
            <w:r>
              <w:rPr>
                <w:rFonts w:ascii="Arial" w:cs="Arial" w:eastAsia="Arial" w:hAnsi="Arial"/>
                <w:b/>
                <w:bCs/>
                <w:color w:val="C5972C"/>
                <w:sz w:val="16"/>
                <w:szCs w:val="16"/>
              </w:rPr>
              <w:t xml:space="preserve">INSIDER TIP:  </w:t>
            </w:r>
            <w:r>
              <w:rPr>
                <w:rFonts w:ascii="Arial" w:cs="Arial" w:eastAsia="Arial" w:hAnsi="Arial"/>
                <w:color w:val="333333"/>
                <w:sz w:val="16"/>
                <w:szCs w:val="16"/>
              </w:rPr>
              <w:t xml:space="preserve">Auditors frequently check for unassigned driving time and edited logs. Review your ELD data for these issues in advance and resolve all unassigned time segments before the audit.</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2.3  Vehicle Maintenance &amp; Inspection Records</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24</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Maintenance Program</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Verify written systematic maintenance program exists and is being followed. Confirm PM schedules for each vehicle.</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Fleet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396.3</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25</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Annual Inspections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Confirm every CMV has a current annual DOT inspection. Decals must be displayed and records accessible.</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Fleet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396.17</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26</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DVIR Review</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Audit 3 months of Driver Vehicle Inspection Reports. Verify defects were reported and corrected before dispatch.</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Fleet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396.11</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27</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Brake Inspector Quals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Verify brake inspector qualifications are on file for anyone performing brake adjustments or repairs.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Fleet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396.25</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28</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Roadside History</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Review roadside inspection results from your ISS score. Address any patterns of violations.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396.9</w:t>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2.4  Insurance &amp; Financial Responsibility</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29</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Verify Insurance Filing</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Confirm BMC-91/91X or BMC-34 is current with FMCSA. Verify MCS-90 endorsement on auto liability policy.</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Risk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387.7</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30</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Liability Minimums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Confirm liability limits meet or exceed FMCSA minimums ($750K general freight; $1M/$5M hazmat as applicable).</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Risk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387.9</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31</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Certificate Access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Ensure current certificates of insurance are readily available. Contact your broker if any updates are needed.</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Insurance Broker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387.7</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80"/>
              <w:left w:type="dxa" w:w="140"/>
              <w:bottom w:type="dxa" w:w="80"/>
              <w:right w:type="dxa" w:w="140"/>
            </w:tcMar>
            <w:vAlign w:val="center"/>
          </w:tcPr>
          <w:p>
            <w:pPr>
              <w:spacing w:before="0" w:after="0"/>
            </w:pPr>
            <w:r>
              <w:rPr>
                <w:rFonts w:ascii="Arial" w:cs="Arial" w:eastAsia="Arial" w:hAnsi="Arial"/>
                <w:b/>
                <w:bCs/>
                <w:color w:val="C5972C"/>
                <w:sz w:val="16"/>
                <w:szCs w:val="16"/>
              </w:rPr>
              <w:t xml:space="preserve">INSIDER TIP:  </w:t>
            </w:r>
            <w:r>
              <w:rPr>
                <w:rFonts w:ascii="Arial" w:cs="Arial" w:eastAsia="Arial" w:hAnsi="Arial"/>
                <w:color w:val="333333"/>
                <w:sz w:val="16"/>
                <w:szCs w:val="16"/>
              </w:rPr>
              <w:t xml:space="preserve">Contact First Underwriters at (425) 242-5357 or pauls@firstunderwriters.com to verify your insurance filings are current and your coverage meets all DOT requirements before the audit.</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2.5  Safety Management Controls</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32</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USDOT Markings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Inspect every CMV for proper USDOT number display, company name, and legal lettering. Must be on both sides in contrasting color.</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Fleet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390.21</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33</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Accident Register</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Verify accident register is complete for the past 3 years. Include all DOT-recordable accidents with required data fields.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390.15</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34</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MCS-150 Update</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Confirm biennial MCS-150 update is current. File immediately if overdue — this is a common audit finding.</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Admin</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390.19</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35</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Safety Meetings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Organize safety meeting records showing topics, dates, and attendee signatures for the past 12 months.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Best practice</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PHASE 3: FINAL PREPARATION (1–14 Days Before Audit)</w:t>
            </w:r>
          </w:p>
        </w:tc>
      </w:tr>
    </w:tbl>
    <w:p>
      <w:pPr>
        <w:spacing w:before="60" w:after="0"/>
      </w:pPr>
    </w:p>
    <w:p>
      <w:pPr>
        <w:spacing w:before="0" w:after="80"/>
      </w:pPr>
      <w:r>
        <w:rPr>
          <w:rFonts w:ascii="Arial" w:cs="Arial" w:eastAsia="Arial" w:hAnsi="Arial"/>
          <w:color w:val="333333"/>
          <w:sz w:val="17"/>
          <w:szCs w:val="17"/>
        </w:rPr>
        <w:t xml:space="preserve">With records organized, the final phase focuses on team preparation, mock audits, and ensuring your facility and files are audit-ready.</w:t>
      </w:r>
    </w:p>
    <w:p>
      <w:pPr>
        <w:spacing w:before="2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3.1  Conduct a Mock Audit</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36</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Select Sample Files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Pull 5–10 driver files at random and review each against the DQF checklist. Simulate what an auditor would find.</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7–14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391.51</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37</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Time the Process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Practice locating and presenting specific records on demand. The auditor may request random files — you should retrieve them within minutes.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7–14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38</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Identify Last-Minute Gaps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Any deficiencies found during the mock audit must be corrected immediately. Document corrections made.</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7–14</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3.2  Prepare Your Team</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39</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Brief All Drivers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Inform drivers an audit is coming. Review their responsibilities: proper pre/post-trip inspections, ELD compliance, and professional conduct.</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7–10</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40</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Train Front Desk / Office</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Ensure reception knows who the auditor should be directed to upon arrival. Only the audit coordinator should interact with the auditor.</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3–7</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41</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Review Talking Points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Prepare concise answers to common auditor questions. Be honest, factual, and do not volunteer extra information.</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3–7</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42</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Prepare Driver Interviews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Auditors may interview drivers. Coach drivers to answer honestly, stay calm, and not guess at answers they are unsure about.</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3–7</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3.3  Final File Organization</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43</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Organize Master Binder</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Compile a master audit binder with tabs for each compliance area: DQF index, D&amp;A records, HOS, maintenance, insurance, safety.</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3–7</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44</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Print Key Documents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Print current BMC-91/91X confirmation, MCS-150, SAFER snapshot, Clearinghouse employer report, and insurance certificates.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3–5</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Admin</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45</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Prepare Digital Access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If records are electronic, ensure login credentials work, systems are accessible, and reports can be generated quickly.</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1–3</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IT / Admin</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46</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Facility Walkthrough</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Walk the facility as an auditor would. Check vehicle markings, inspection decals, posted regulations, and general housekeeping.</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1–2</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Fleet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80"/>
              <w:left w:type="dxa" w:w="140"/>
              <w:bottom w:type="dxa" w:w="80"/>
              <w:right w:type="dxa" w:w="140"/>
            </w:tcMar>
            <w:vAlign w:val="center"/>
          </w:tcPr>
          <w:p>
            <w:pPr>
              <w:spacing w:before="0" w:after="0"/>
            </w:pPr>
            <w:r>
              <w:rPr>
                <w:rFonts w:ascii="Arial" w:cs="Arial" w:eastAsia="Arial" w:hAnsi="Arial"/>
                <w:b/>
                <w:bCs/>
                <w:color w:val="C5972C"/>
                <w:sz w:val="16"/>
                <w:szCs w:val="16"/>
              </w:rPr>
              <w:t xml:space="preserve">INSIDER TIP:  </w:t>
            </w:r>
            <w:r>
              <w:rPr>
                <w:rFonts w:ascii="Arial" w:cs="Arial" w:eastAsia="Arial" w:hAnsi="Arial"/>
                <w:color w:val="333333"/>
                <w:sz w:val="16"/>
                <w:szCs w:val="16"/>
              </w:rPr>
              <w:t xml:space="preserve">First impressions matter. A clean facility, organized files, and a professional, cooperative demeanor signal to the auditor that you take compliance seriously. Auditors have noted that carriers who are organized and transparent tend to receive more favorable outcomes.</w:t>
            </w:r>
          </w:p>
        </w:tc>
      </w:tr>
    </w:tbl>
    <w:p>
      <w:pPr>
        <w:spacing w:before="10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PHASE 4: AUDIT DAY &amp; POST-AUDIT</w:t>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4.1  Day of the Audit</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47</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Welcome the Auditor</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Greet the auditor professionally. Escort them to the prepared workspace. Offer water/coffee and ask for their agenda.</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of</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48</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Request Credentials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You have the right to verify the auditor's identity and credentials. Ask for their FMCSA identification.</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of</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49</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Take Notes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Document everything: what was requested, what was reviewed, questions asked, and any preliminary findings communicated.</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of</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50</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Stay Present</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The coordinator should remain available throughout the audit. Respond promptly to all document requests.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of</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51</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Don't Argue Findings</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If the auditor identifies a violation, acknowledge it professionally. Arguing rarely changes the finding and can escalate the review.</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of</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bl>
    <w:p>
      <w:pPr>
        <w:spacing w:before="60" w:after="0"/>
      </w:pP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40"/>
              <w:left w:type="dxa" w:w="120"/>
              <w:bottom w:type="dxa" w:w="40"/>
              <w:right w:type="dxa" w:w="120"/>
            </w:tcMar>
            <w:vAlign w:val="center"/>
          </w:tcPr>
          <w:p>
            <w:pPr>
              <w:spacing w:before="0" w:after="0"/>
            </w:pPr>
            <w:r>
              <w:rPr>
                <w:rFonts w:ascii="Arial" w:cs="Arial" w:eastAsia="Arial" w:hAnsi="Arial"/>
                <w:b/>
                <w:bCs/>
                <w:color w:val="C5972C"/>
                <w:sz w:val="18"/>
                <w:szCs w:val="18"/>
              </w:rPr>
              <w:t xml:space="preserve">4.2  Post-Audit Actions</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00"/>
        <w:gridCol w:w="2300"/>
        <w:gridCol w:w="3560"/>
        <w:gridCol w:w="1100"/>
        <w:gridCol w:w="1100"/>
        <w:gridCol w:w="800"/>
      </w:tblGrid>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Step</w:t>
            </w:r>
          </w:p>
        </w:tc>
        <w:tc>
          <w:tcPr>
            <w:tcW w:type="dxa" w:w="23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Action</w:t>
            </w:r>
          </w:p>
        </w:tc>
        <w:tc>
          <w:tcPr>
            <w:tcW w:type="dxa" w:w="356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Details / Requirements</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Timeline</w:t>
            </w:r>
          </w:p>
        </w:tc>
        <w:tc>
          <w:tcPr>
            <w:tcW w:type="dxa" w:w="11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Owner</w:t>
            </w:r>
          </w:p>
        </w:tc>
        <w:tc>
          <w:tcPr>
            <w:tcW w:type="dxa" w:w="8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6"/>
                <w:szCs w:val="16"/>
              </w:rPr>
              <w:t xml:space="preserve">CFR</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52</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Request Exit Briefing</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Ask the auditor for a summary of findings before they leave. Understand what violations were identified and expected ratings.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of</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53</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Document Everything</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Immediately document all findings, violations cited, and any informal guidance the auditor provided.</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Day of</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Coordinator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54</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Corrective Action Plan</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Develop a written corrective action plan for every violation within 15 days. Assign owners, deadlines, and verification steps.</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1 post</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385.15</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55</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Submit Response</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If required, submit your written response and corrective action evidence to FMCSA within the specified timeframe.</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Per notice</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385.15</w:t>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56</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Insurance Notification</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Notify your insurance broker of audit results. A satisfactory rating supports favorable underwriting; unsatisfactory may require disclosure.</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Week 1 post</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Risk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r>
        <w:tc>
          <w:tcPr>
            <w:tcW w:type="dxa" w:w="500"/>
            <w:tcBorders>
              <w:top w:val="single" w:color="D9D9D9" w:sz="1"/>
              <w:left w:val="single" w:color="D9D9D9" w:sz="1"/>
              <w:bottom w:val="single" w:color="D9D9D9" w:sz="1"/>
              <w:right w:val="single" w:color="D9D9D9" w:sz="1"/>
            </w:tcBorders>
            <w:shd w:fill="1B2A4A" w:val="clear"/>
            <w:tcMar>
              <w:top w:type="dxa" w:w="40"/>
              <w:left w:type="dxa" w:w="80"/>
              <w:bottom w:type="dxa" w:w="40"/>
              <w:right w:type="dxa" w:w="80"/>
            </w:tcMar>
            <w:vAlign w:val="center"/>
          </w:tcPr>
          <w:p>
            <w:pPr>
              <w:spacing w:before="0" w:after="0"/>
              <w:jc w:val="center"/>
            </w:pPr>
            <w:r>
              <w:rPr>
                <w:rFonts w:ascii="Arial" w:cs="Arial" w:eastAsia="Arial" w:hAnsi="Arial"/>
                <w:b/>
                <w:bCs/>
                <w:color w:val="FFFFFF"/>
                <w:sz w:val="18"/>
                <w:szCs w:val="18"/>
              </w:rPr>
              <w:t xml:space="preserve">57</w:t>
            </w:r>
          </w:p>
        </w:tc>
        <w:tc>
          <w:tcPr>
            <w:tcW w:type="dxa" w:w="2300"/>
            <w:tcBorders>
              <w:top w:val="single" w:color="D9D9D9" w:sz="1"/>
              <w:left w:val="single" w:color="D9D9D9" w:sz="1"/>
              <w:bottom w:val="single" w:color="D9D9D9" w:sz="1"/>
              <w:right w:val="single" w:color="D9D9D9" w:sz="1"/>
            </w:tcBorders>
            <w:shd w:fill="F5EBD7" w:val="clear"/>
            <w:tcMar>
              <w:top w:type="dxa" w:w="60"/>
              <w:left w:type="dxa" w:w="100"/>
              <w:bottom w:type="dxa" w:w="60"/>
              <w:right w:type="dxa" w:w="100"/>
            </w:tcMar>
            <w:vAlign w:val="center"/>
          </w:tcPr>
          <w:p>
            <w:pPr>
              <w:spacing w:before="0" w:after="0"/>
            </w:pPr>
            <w:r>
              <w:rPr>
                <w:rFonts w:ascii="Arial" w:cs="Arial" w:eastAsia="Arial" w:hAnsi="Arial"/>
                <w:b/>
                <w:bCs/>
                <w:color w:val="1B2A4A"/>
                <w:sz w:val="17"/>
                <w:szCs w:val="17"/>
              </w:rPr>
              <w:t xml:space="preserve">Continuous Improvement</w:t>
            </w:r>
          </w:p>
        </w:tc>
        <w:tc>
          <w:tcPr>
            <w:tcW w:type="dxa" w:w="3560"/>
            <w:tcBorders>
              <w:top w:val="single" w:color="D9D9D9" w:sz="1"/>
              <w:left w:val="single" w:color="D9D9D9" w:sz="1"/>
              <w:bottom w:val="single" w:color="D9D9D9" w:sz="1"/>
              <w:right w:val="single" w:color="D9D9D9" w:sz="1"/>
            </w:tcBorders>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Implement ongoing compliance monitoring. Schedule quarterly self-audits using the DOT Compliance Checklist.</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Ongoing</w:t>
            </w:r>
          </w:p>
        </w:tc>
        <w:tc>
          <w:tcPr>
            <w:tcW w:type="dxa" w:w="11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333333"/>
                <w:sz w:val="15"/>
                <w:szCs w:val="15"/>
              </w:rPr>
              <w:t xml:space="preserve">Safety Mgr</w:t>
            </w:r>
          </w:p>
        </w:tc>
        <w:tc>
          <w:tcPr>
            <w:tcW w:type="dxa" w:w="800"/>
            <w:tcBorders>
              <w:top w:val="single" w:color="D9D9D9" w:sz="1"/>
              <w:left w:val="single" w:color="D9D9D9" w:sz="1"/>
              <w:bottom w:val="single" w:color="D9D9D9" w:sz="1"/>
              <w:right w:val="single" w:color="D9D9D9" w:sz="1"/>
            </w:tcBorders>
            <w:tcMar>
              <w:top w:type="dxa" w:w="40"/>
              <w:left w:type="dxa" w:w="80"/>
              <w:bottom w:type="dxa" w:w="40"/>
              <w:right w:type="dxa" w:w="80"/>
            </w:tcMar>
            <w:vAlign w:val="center"/>
          </w:tcPr>
          <w:p>
            <w:pPr>
              <w:spacing w:before="0" w:after="0"/>
              <w:jc w:val="center"/>
            </w:pPr>
            <w:r>
              <w:rPr>
                <w:rFonts w:ascii="Arial" w:cs="Arial" w:eastAsia="Arial" w:hAnsi="Arial"/>
                <w:color w:val="C5972C"/>
                <w:sz w:val="13"/>
                <w:szCs w:val="13"/>
              </w:rPr>
              <w:t xml:space="preserve"/>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FMCSA SAFETY RATING OUTCOMES</w:t>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600"/>
        <w:gridCol w:w="4760"/>
        <w:gridCol w:w="3000"/>
      </w:tblGrid>
      <w:tr>
        <w:tc>
          <w:tcPr>
            <w:tcW w:type="dxa" w:w="1600"/>
            <w:tcBorders>
              <w:top w:val="single" w:color="D9D9D9" w:sz="1"/>
              <w:left w:val="single" w:color="D9D9D9" w:sz="1"/>
              <w:bottom w:val="single" w:color="D9D9D9" w:sz="1"/>
              <w:right w:val="single" w:color="D9D9D9" w:sz="1"/>
            </w:tcBorders>
            <w:shd w:fill="1B2A4A" w:val="clear"/>
            <w:tcMar>
              <w:top w:type="dxa" w:w="60"/>
              <w:left w:type="dxa" w:w="100"/>
              <w:bottom w:type="dxa" w:w="60"/>
              <w:right w:type="dxa" w:w="100"/>
            </w:tcMar>
            <w:vAlign w:val="center"/>
          </w:tcPr>
          <w:p>
            <w:pPr>
              <w:spacing w:before="0" w:after="0"/>
              <w:jc w:val="center"/>
            </w:pPr>
            <w:r>
              <w:rPr>
                <w:rFonts w:ascii="Arial" w:cs="Arial" w:eastAsia="Arial" w:hAnsi="Arial"/>
                <w:b/>
                <w:bCs/>
                <w:color w:val="FFFFFF"/>
                <w:sz w:val="16"/>
                <w:szCs w:val="16"/>
              </w:rPr>
              <w:t xml:space="preserve">Rating</w:t>
            </w:r>
          </w:p>
        </w:tc>
        <w:tc>
          <w:tcPr>
            <w:tcW w:type="dxa" w:w="4760"/>
            <w:tcBorders>
              <w:top w:val="single" w:color="D9D9D9" w:sz="1"/>
              <w:left w:val="single" w:color="D9D9D9" w:sz="1"/>
              <w:bottom w:val="single" w:color="D9D9D9" w:sz="1"/>
              <w:right w:val="single" w:color="D9D9D9" w:sz="1"/>
            </w:tcBorders>
            <w:shd w:fill="1B2A4A" w:val="clear"/>
            <w:tcMar>
              <w:top w:type="dxa" w:w="60"/>
              <w:left w:type="dxa" w:w="100"/>
              <w:bottom w:type="dxa" w:w="60"/>
              <w:right w:type="dxa" w:w="100"/>
            </w:tcMar>
            <w:vAlign w:val="center"/>
          </w:tcPr>
          <w:p>
            <w:pPr>
              <w:spacing w:before="0" w:after="0"/>
            </w:pPr>
            <w:r>
              <w:rPr>
                <w:rFonts w:ascii="Arial" w:cs="Arial" w:eastAsia="Arial" w:hAnsi="Arial"/>
                <w:b/>
                <w:bCs/>
                <w:color w:val="FFFFFF"/>
                <w:sz w:val="16"/>
                <w:szCs w:val="16"/>
              </w:rPr>
              <w:t xml:space="preserve">Description</w:t>
            </w:r>
          </w:p>
        </w:tc>
        <w:tc>
          <w:tcPr>
            <w:tcW w:type="dxa" w:w="3000"/>
            <w:tcBorders>
              <w:top w:val="single" w:color="D9D9D9" w:sz="1"/>
              <w:left w:val="single" w:color="D9D9D9" w:sz="1"/>
              <w:bottom w:val="single" w:color="D9D9D9" w:sz="1"/>
              <w:right w:val="single" w:color="D9D9D9" w:sz="1"/>
            </w:tcBorders>
            <w:shd w:fill="1B2A4A" w:val="clear"/>
            <w:tcMar>
              <w:top w:type="dxa" w:w="60"/>
              <w:left w:type="dxa" w:w="100"/>
              <w:bottom w:type="dxa" w:w="60"/>
              <w:right w:type="dxa" w:w="100"/>
            </w:tcMar>
            <w:vAlign w:val="center"/>
          </w:tcPr>
          <w:p>
            <w:pPr>
              <w:spacing w:before="0" w:after="0"/>
            </w:pPr>
            <w:r>
              <w:rPr>
                <w:rFonts w:ascii="Arial" w:cs="Arial" w:eastAsia="Arial" w:hAnsi="Arial"/>
                <w:b/>
                <w:bCs/>
                <w:color w:val="FFFFFF"/>
                <w:sz w:val="16"/>
                <w:szCs w:val="16"/>
              </w:rPr>
              <w:t xml:space="preserve">Insurance Impact</w:t>
            </w:r>
          </w:p>
        </w:tc>
      </w:tr>
      <w:tr>
        <w:tc>
          <w:tcPr>
            <w:tcW w:type="dxa" w:w="1600"/>
            <w:tcBorders>
              <w:top w:val="single" w:color="D9D9D9" w:sz="1"/>
              <w:left w:val="single" w:color="D9D9D9" w:sz="1"/>
              <w:bottom w:val="single" w:color="D9D9D9" w:sz="1"/>
              <w:right w:val="single" w:color="D9D9D9" w:sz="1"/>
            </w:tcBorders>
            <w:shd w:fill="E8F5E9" w:val="clear"/>
            <w:tcMar>
              <w:top w:type="dxa" w:w="60"/>
              <w:left w:type="dxa" w:w="100"/>
              <w:bottom w:type="dxa" w:w="60"/>
              <w:right w:type="dxa" w:w="100"/>
            </w:tcMar>
            <w:vAlign w:val="center"/>
          </w:tcPr>
          <w:p>
            <w:pPr>
              <w:spacing w:before="0" w:after="0"/>
              <w:jc w:val="center"/>
            </w:pPr>
            <w:r>
              <w:rPr>
                <w:rFonts w:ascii="Arial" w:cs="Arial" w:eastAsia="Arial" w:hAnsi="Arial"/>
                <w:b/>
                <w:bCs/>
                <w:color w:val="1B2A4A"/>
                <w:sz w:val="17"/>
                <w:szCs w:val="17"/>
              </w:rPr>
              <w:t xml:space="preserve">Satisfactory</w:t>
            </w:r>
          </w:p>
        </w:tc>
        <w:tc>
          <w:tcPr>
            <w:tcW w:type="dxa" w:w="4760"/>
            <w:tcBorders>
              <w:top w:val="single" w:color="D9D9D9" w:sz="1"/>
              <w:left w:val="single" w:color="D9D9D9" w:sz="1"/>
              <w:bottom w:val="single" w:color="D9D9D9" w:sz="1"/>
              <w:right w:val="single" w:color="D9D9D9" w:sz="1"/>
            </w:tcBorders>
            <w:shd w:fill="E8F5E9"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Motor carrier has adequate safety management controls in place to ensure compliance with safety requirements.</w:t>
            </w:r>
          </w:p>
        </w:tc>
        <w:tc>
          <w:tcPr>
            <w:tcW w:type="dxa" w:w="3000"/>
            <w:tcBorders>
              <w:top w:val="single" w:color="D9D9D9" w:sz="1"/>
              <w:left w:val="single" w:color="D9D9D9" w:sz="1"/>
              <w:bottom w:val="single" w:color="D9D9D9" w:sz="1"/>
              <w:right w:val="single" w:color="D9D9D9" w:sz="1"/>
            </w:tcBorders>
            <w:shd w:fill="E8F5E9"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Favorable underwriting; best available rates and carrier options</w:t>
            </w:r>
          </w:p>
        </w:tc>
      </w:tr>
      <w:tr>
        <w:tc>
          <w:tcPr>
            <w:tcW w:type="dxa" w:w="1600"/>
            <w:tcBorders>
              <w:top w:val="single" w:color="D9D9D9" w:sz="1"/>
              <w:left w:val="single" w:color="D9D9D9" w:sz="1"/>
              <w:bottom w:val="single" w:color="D9D9D9" w:sz="1"/>
              <w:right w:val="single" w:color="D9D9D9" w:sz="1"/>
            </w:tcBorders>
            <w:shd w:fill="FFF9C4" w:val="clear"/>
            <w:tcMar>
              <w:top w:type="dxa" w:w="60"/>
              <w:left w:type="dxa" w:w="100"/>
              <w:bottom w:type="dxa" w:w="60"/>
              <w:right w:type="dxa" w:w="100"/>
            </w:tcMar>
            <w:vAlign w:val="center"/>
          </w:tcPr>
          <w:p>
            <w:pPr>
              <w:spacing w:before="0" w:after="0"/>
              <w:jc w:val="center"/>
            </w:pPr>
            <w:r>
              <w:rPr>
                <w:rFonts w:ascii="Arial" w:cs="Arial" w:eastAsia="Arial" w:hAnsi="Arial"/>
                <w:b/>
                <w:bCs/>
                <w:color w:val="1B2A4A"/>
                <w:sz w:val="17"/>
                <w:szCs w:val="17"/>
              </w:rPr>
              <w:t xml:space="preserve">Conditional</w:t>
            </w:r>
          </w:p>
        </w:tc>
        <w:tc>
          <w:tcPr>
            <w:tcW w:type="dxa" w:w="4760"/>
            <w:tcBorders>
              <w:top w:val="single" w:color="D9D9D9" w:sz="1"/>
              <w:left w:val="single" w:color="D9D9D9" w:sz="1"/>
              <w:bottom w:val="single" w:color="D9D9D9" w:sz="1"/>
              <w:right w:val="single" w:color="D9D9D9" w:sz="1"/>
            </w:tcBorders>
            <w:shd w:fill="FFF9C4"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Motor carrier does not have adequate safety management controls to ensure compliance. Corrective action needed.</w:t>
            </w:r>
          </w:p>
        </w:tc>
        <w:tc>
          <w:tcPr>
            <w:tcW w:type="dxa" w:w="3000"/>
            <w:tcBorders>
              <w:top w:val="single" w:color="D9D9D9" w:sz="1"/>
              <w:left w:val="single" w:color="D9D9D9" w:sz="1"/>
              <w:bottom w:val="single" w:color="D9D9D9" w:sz="1"/>
              <w:right w:val="single" w:color="D9D9D9" w:sz="1"/>
            </w:tcBorders>
            <w:shd w:fill="FFF9C4"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Possible surcharges or restricted carrier access; corrective action required</w:t>
            </w:r>
          </w:p>
        </w:tc>
      </w:tr>
      <w:tr>
        <w:tc>
          <w:tcPr>
            <w:tcW w:type="dxa" w:w="1600"/>
            <w:tcBorders>
              <w:top w:val="single" w:color="D9D9D9" w:sz="1"/>
              <w:left w:val="single" w:color="D9D9D9" w:sz="1"/>
              <w:bottom w:val="single" w:color="D9D9D9" w:sz="1"/>
              <w:right w:val="single" w:color="D9D9D9" w:sz="1"/>
            </w:tcBorders>
            <w:shd w:fill="FFCDD2" w:val="clear"/>
            <w:tcMar>
              <w:top w:type="dxa" w:w="60"/>
              <w:left w:type="dxa" w:w="100"/>
              <w:bottom w:type="dxa" w:w="60"/>
              <w:right w:type="dxa" w:w="100"/>
            </w:tcMar>
            <w:vAlign w:val="center"/>
          </w:tcPr>
          <w:p>
            <w:pPr>
              <w:spacing w:before="0" w:after="0"/>
              <w:jc w:val="center"/>
            </w:pPr>
            <w:r>
              <w:rPr>
                <w:rFonts w:ascii="Arial" w:cs="Arial" w:eastAsia="Arial" w:hAnsi="Arial"/>
                <w:b/>
                <w:bCs/>
                <w:color w:val="1B2A4A"/>
                <w:sz w:val="17"/>
                <w:szCs w:val="17"/>
              </w:rPr>
              <w:t xml:space="preserve">Unsatisfactory</w:t>
            </w:r>
          </w:p>
        </w:tc>
        <w:tc>
          <w:tcPr>
            <w:tcW w:type="dxa" w:w="4760"/>
            <w:tcBorders>
              <w:top w:val="single" w:color="D9D9D9" w:sz="1"/>
              <w:left w:val="single" w:color="D9D9D9" w:sz="1"/>
              <w:bottom w:val="single" w:color="D9D9D9" w:sz="1"/>
              <w:right w:val="single" w:color="D9D9D9" w:sz="1"/>
            </w:tcBorders>
            <w:shd w:fill="FFCDD2"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Motor carrier does not have adequate controls and has violations that demonstrate a critical level of noncompliance.</w:t>
            </w:r>
          </w:p>
        </w:tc>
        <w:tc>
          <w:tcPr>
            <w:tcW w:type="dxa" w:w="3000"/>
            <w:tcBorders>
              <w:top w:val="single" w:color="D9D9D9" w:sz="1"/>
              <w:left w:val="single" w:color="D9D9D9" w:sz="1"/>
              <w:bottom w:val="single" w:color="D9D9D9" w:sz="1"/>
              <w:right w:val="single" w:color="D9D9D9" w:sz="1"/>
            </w:tcBorders>
            <w:shd w:fill="FFCDD2" w:val="clear"/>
            <w:tcMar>
              <w:top w:type="dxa" w:w="60"/>
              <w:left w:type="dxa" w:w="100"/>
              <w:bottom w:type="dxa" w:w="60"/>
              <w:right w:type="dxa" w:w="100"/>
            </w:tcMar>
            <w:vAlign w:val="center"/>
          </w:tcPr>
          <w:p>
            <w:pPr>
              <w:spacing w:before="0" w:after="0"/>
            </w:pPr>
            <w:r>
              <w:rPr>
                <w:rFonts w:ascii="Arial" w:cs="Arial" w:eastAsia="Arial" w:hAnsi="Arial"/>
                <w:color w:val="333333"/>
                <w:sz w:val="16"/>
                <w:szCs w:val="16"/>
              </w:rPr>
              <w:t xml:space="preserve">Potential non-renewal; limited to surplus lines carriers; very high premiums</w:t>
            </w:r>
          </w:p>
        </w:tc>
      </w:tr>
    </w:tbl>
    <w:p>
      <w:pPr>
        <w:spacing w:before="10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D9D9D9" w:sz="1"/>
              <w:left w:val="none" w:sz="0"/>
              <w:bottom w:val="none" w:sz="0"/>
              <w:right w:val="none" w:sz="0"/>
            </w:tcBorders>
            <w:tcMar>
              <w:top w:type="dxa" w:w="60"/>
              <w:left w:type="dxa" w:w="0"/>
              <w:bottom w:type="dxa" w:w="0"/>
              <w:right w:type="dxa" w:w="0"/>
            </w:tcMar>
          </w:tcPr>
          <w:p>
            <w:pPr>
              <w:spacing w:before="0" w:after="0"/>
            </w:pPr>
            <w:r>
              <w:rPr>
                <w:rFonts w:ascii="Arial" w:cs="Arial" w:eastAsia="Arial" w:hAnsi="Arial"/>
                <w:i/>
                <w:iCs/>
                <w:color w:val="999999"/>
                <w:sz w:val="14"/>
                <w:szCs w:val="14"/>
              </w:rPr>
              <w:t xml:space="preserve">This Audit Preparation Guide is provided by First Underwriters Insurance Brokers as a free resource for fleet operators. It is designed to help organize your DOT compliance program but is not legal advice. Consult with qualified legal counsel and your insurance broker for comprehensive compliance guidance. Contact First Underwriters at (425) 242-5357 or firstunderwriters.com.</w:t>
            </w:r>
          </w:p>
        </w:tc>
      </w:tr>
    </w:tbl>
    <w:sectPr>
      <w:headerReference w:type="default" r:id="rId6"/>
      <w:footerReference w:type="default" r:id="rId7"/>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1"/>
            <w:left w:val="none" w:sz="0"/>
            <w:bottom w:val="none" w:sz="0"/>
            <w:right w:val="none" w:sz="0"/>
          </w:tcBorders>
          <w:tcMar>
            <w:top w:type="dxa" w:w="40"/>
            <w:left w:type="dxa" w:w="0"/>
            <w:bottom w:type="dxa" w:w="0"/>
            <w:right w:type="dxa" w:w="0"/>
          </w:tcMar>
        </w:tcPr>
        <w:p>
          <w:pPr>
            <w:spacing w:before="0" w:after="0"/>
          </w:pPr>
          <w:r>
            <w:rPr>
              <w:rFonts w:ascii="Arial" w:cs="Arial" w:eastAsia="Arial" w:hAnsi="Arial"/>
              <w:color w:val="999999"/>
              <w:sz w:val="13"/>
              <w:szCs w:val="13"/>
            </w:rPr>
            <w:t xml:space="preserve">First Underwriters Insurance Brokers  |  firstunderwriters.com  |  DOT AUDIT PREPARATION GUIDE</w:t>
          </w:r>
        </w:p>
        <w:p>
          <w:pPr>
            <w:spacing w:before="0" w:after="0"/>
            <w:jc w:val="right"/>
          </w:pPr>
          <w:r>
            <w:rPr>
              <w:rFonts w:ascii="Arial" w:cs="Arial" w:eastAsia="Arial" w:hAnsi="Arial"/>
              <w:color w:val="999999"/>
              <w:sz w:val="13"/>
              <w:szCs w:val="13"/>
            </w:rPr>
            <w:t xml:space="preserve">Page </w:t>
          </w:r>
          <w:r>
            <w:rPr>
              <w:rFonts w:ascii="Arial" w:cs="Arial" w:eastAsia="Arial" w:hAnsi="Arial"/>
              <w:color w:val="999999"/>
              <w:sz w:val="13"/>
              <w:szCs w:val="13"/>
            </w:rPr>
            <w:fldChar w:fldCharType="begin"/>
            <w:instrText xml:space="preserve">PAGE</w:instrText>
            <w:fldChar w:fldCharType="separate"/>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spacing w:after="0"/>
      <w:jc w:val="right"/>
    </w:pPr>
    <w:r>
      <w:rPr>
        <w:rFonts w:ascii="Arial" w:cs="Arial" w:eastAsia="Arial" w:hAnsi="Arial"/>
        <w:color w:val="C5972C"/>
        <w:sz w:val="14"/>
        <w:szCs w:val="14"/>
      </w:rPr>
      <w:t xml:space="preserve">First Underwriters Insurance Brokers  |  (425) 242-5357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200" w:after="120"/>
      <w:outlineLvl w:val="0"/>
    </w:pPr>
    <w:rPr>
      <w:rFonts w:ascii="Arial" w:cs="Arial" w:eastAsia="Arial" w:hAnsi="Arial"/>
      <w:b/>
      <w:bCs/>
      <w:color w:val="1B2A4A"/>
      <w:sz w:val="28"/>
      <w:szCs w:val="28"/>
    </w:rPr>
  </w:style>
  <w:style w:type="paragraph" w:styleId="Heading2">
    <w:name w:val="Heading 2"/>
    <w:basedOn w:val="Normal"/>
    <w:next w:val="Normal"/>
    <w:qFormat/>
    <w:pPr>
      <w:spacing w:before="160" w:after="80"/>
      <w:outlineLvl w:val="1"/>
    </w:pPr>
    <w:rPr>
      <w:rFonts w:ascii="Arial" w:cs="Arial" w:eastAsia="Arial" w:hAnsi="Arial"/>
      <w:b/>
      <w:bCs/>
      <w:color w:val="1B2A4A"/>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2026-02-07T00:13:11.597Z</dcterms:created>
  <dcterms:modified xsi:type="dcterms:W3CDTF">2026-02-07T00:13:11.598Z</dcterms:modified>
</cp:coreProperties>
</file>

<file path=docProps/custom.xml><?xml version="1.0" encoding="utf-8"?>
<Properties xmlns="http://schemas.openxmlformats.org/officeDocument/2006/custom-properties" xmlns:vt="http://schemas.openxmlformats.org/officeDocument/2006/docPropsVTypes"/>
</file>