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Override ContentType="application/vnd.openxmlformats-officedocument.wordprocessingml.header+xml" PartName="/word/header1.xml"/>
  <Override ContentType="application/vnd.openxmlformats-officedocument.wordprocessingml.footer+xml" PartName="/word/footer1.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spacing w:after="60"/>
      </w:pPr>
      <w:r>
        <w:rPr>
          <w:rFonts w:ascii="Arial" w:cs="Arial" w:eastAsia="Arial" w:hAnsi="Arial"/>
          <w:b/>
          <w:bCs/>
          <w:color w:val="1B3A5C"/>
          <w:sz w:val="40"/>
          <w:szCs w:val="40"/>
        </w:rPr>
        <w:t xml:space="preserve">BRING YOUR OWN DEVICE</w:t>
      </w:r>
    </w:p>
    <w:p>
      <w:pPr>
        <w:spacing w:after="20"/>
      </w:pPr>
      <w:r>
        <w:rPr>
          <w:rFonts w:ascii="Arial" w:cs="Arial" w:eastAsia="Arial" w:hAnsi="Arial"/>
          <w:b/>
          <w:bCs/>
          <w:color w:val="1B3A5C"/>
          <w:sz w:val="40"/>
          <w:szCs w:val="40"/>
        </w:rPr>
        <w:t xml:space="preserve">(BYOD) POLICY TEMPLATE</w:t>
      </w:r>
    </w:p>
    <w:p>
      <w:pPr>
        <w:spacing w:after="40"/>
      </w:pPr>
      <w:r>
        <w:rPr>
          <w:rFonts w:ascii="Arial" w:cs="Arial" w:eastAsia="Arial" w:hAnsi="Arial"/>
          <w:color w:val="2E75B6"/>
          <w:sz w:val="22"/>
          <w:szCs w:val="22"/>
        </w:rPr>
        <w:t xml:space="preserve">Cyber Liability Resource  |  Free Download</w:t>
      </w:r>
    </w:p>
    <w:p>
      <w:pPr>
        <w:pBdr>
          <w:bottom w:val="single" w:color="E8792F" w:sz="4"/>
        </w:pBdr>
        <w:spacing w:after="200"/>
      </w:pPr>
    </w:p>
    <w:p>
      <w:pPr>
        <w:spacing w:after="120"/>
      </w:pPr>
      <w:r>
        <w:rPr>
          <w:rFonts w:ascii="Arial" w:cs="Arial" w:eastAsia="Arial" w:hAnsi="Arial"/>
          <w:color w:val="333333"/>
          <w:sz w:val="20"/>
          <w:szCs w:val="20"/>
        </w:rPr>
        <w:t xml:space="preserve">This Bring Your Own Device (BYOD) Policy template establishes the security requirements, acceptable use standards, and responsibilities for employees who use personal devices to access organizational systems, data, and networks. A clearly defined BYOD policy is essential for managing cyber risk and is increasingly required by cyber liability insurance carriers during underwriting and renewals.</w:t>
      </w:r>
    </w:p>
    <w:p>
      <w:pPr>
        <w:spacing w:after="120"/>
      </w:pPr>
      <w:r>
        <w:rPr>
          <w:rFonts w:ascii="Arial" w:cs="Arial" w:eastAsia="Arial" w:hAnsi="Arial"/>
          <w:color w:val="333333"/>
          <w:sz w:val="20"/>
          <w:szCs w:val="20"/>
        </w:rPr>
        <w:t xml:space="preserve">Customize each section to reflect your organization’s specific technology environment, regulatory requirements, and risk tolerance. This template should be reviewed by legal counsel and IT leadership before implementation.</w:t>
      </w:r>
    </w:p>
    <w:p>
      <w:pPr>
        <w:spacing w:after="100"/>
      </w:pPr>
      <w:r>
        <w:rPr>
          <w:rFonts w:ascii="Arial" w:cs="Arial" w:eastAsia="Arial" w:hAnsi="Arial"/>
          <w:i/>
          <w:iCs/>
          <w:color w:val="666666"/>
          <w:sz w:val="18"/>
          <w:szCs w:val="18"/>
        </w:rPr>
        <w:t xml:space="preserve">Instructions: Replace all bracketed placeholder text [like this] with your organization’s specific information. Sections marked with an asterisk (*) are considered essential for cyber insurance compliance.</w:t>
      </w:r>
    </w:p>
    <w:p>
      <w:pPr>
        <w:pStyle w:val="Heading1"/>
        <w:spacing w:before="360" w:after="120"/>
      </w:pPr>
      <w:r>
        <w:rPr>
          <w:rFonts w:ascii="Arial" w:cs="Arial" w:eastAsia="Arial" w:hAnsi="Arial"/>
          <w:b/>
          <w:bCs/>
          <w:color w:val="1B3A5C"/>
          <w:sz w:val="28"/>
          <w:szCs w:val="28"/>
        </w:rPr>
        <w:t xml:space="preserve">Document Control *</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800"/>
        <w:gridCol w:w="6560"/>
      </w:tblGrid>
      <w:tr>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Organization Name:</w:t>
            </w:r>
          </w:p>
        </w:tc>
        <w:tc>
          <w:tcPr>
            <w:tcW w:type="dxa" w:w="65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Document Owner:</w:t>
            </w:r>
          </w:p>
        </w:tc>
        <w:tc>
          <w:tcPr>
            <w:tcW w:type="dxa" w:w="65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Version Number:</w:t>
            </w:r>
          </w:p>
        </w:tc>
        <w:tc>
          <w:tcPr>
            <w:tcW w:type="dxa" w:w="65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Effective Date:</w:t>
            </w:r>
          </w:p>
        </w:tc>
        <w:tc>
          <w:tcPr>
            <w:tcW w:type="dxa" w:w="65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Last Reviewed:</w:t>
            </w:r>
          </w:p>
        </w:tc>
        <w:tc>
          <w:tcPr>
            <w:tcW w:type="dxa" w:w="65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Next Review Date:</w:t>
            </w:r>
          </w:p>
        </w:tc>
        <w:tc>
          <w:tcPr>
            <w:tcW w:type="dxa" w:w="65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r>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20"/>
                <w:szCs w:val="20"/>
              </w:rPr>
              <w:t xml:space="preserve">Classification:</w:t>
            </w:r>
          </w:p>
        </w:tc>
        <w:tc>
          <w:tcPr>
            <w:tcW w:type="dxa" w:w="65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20"/>
                <w:szCs w:val="20"/>
              </w:rPr>
              <w:t xml:space="preserve">Internal / Confidential</w:t>
            </w:r>
          </w:p>
        </w:tc>
      </w:tr>
      <w:tr>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20"/>
                <w:szCs w:val="20"/>
              </w:rPr>
              <w:t xml:space="preserve">Approved By:</w:t>
            </w:r>
          </w:p>
        </w:tc>
        <w:tc>
          <w:tcPr>
            <w:tcW w:type="dxa" w:w="65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20"/>
                <w:szCs w:val="20"/>
              </w:rPr>
              <w:t xml:space="preserve"/>
            </w:r>
          </w:p>
        </w:tc>
      </w:tr>
    </w:tbl>
    <w:p>
      <w:pPr>
        <w:spacing w:after="80"/>
      </w:pPr>
    </w:p>
    <w:p>
      <w:pPr>
        <w:pStyle w:val="Heading2"/>
        <w:spacing w:before="240" w:after="100"/>
      </w:pPr>
      <w:r>
        <w:rPr>
          <w:rFonts w:ascii="Arial" w:cs="Arial" w:eastAsia="Arial" w:hAnsi="Arial"/>
          <w:b/>
          <w:bCs/>
          <w:color w:val="2E75B6"/>
          <w:sz w:val="24"/>
          <w:szCs w:val="24"/>
        </w:rPr>
        <w:t xml:space="preserve">Revision History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200"/>
        <w:gridCol w:w="1200"/>
        <w:gridCol w:w="2000"/>
        <w:gridCol w:w="2160"/>
        <w:gridCol w:w="2800"/>
      </w:tblGrid>
      <w:tr>
        <w:tc>
          <w:tcPr>
            <w:tcW w:type="dxa" w:w="1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Version</w:t>
            </w:r>
          </w:p>
        </w:tc>
        <w:tc>
          <w:tcPr>
            <w:tcW w:type="dxa" w:w="1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Date</w:t>
            </w:r>
          </w:p>
        </w:tc>
        <w:tc>
          <w:tcPr>
            <w:tcW w:type="dxa" w:w="20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Author</w:t>
            </w:r>
          </w:p>
        </w:tc>
        <w:tc>
          <w:tcPr>
            <w:tcW w:type="dxa" w:w="216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Changes</w:t>
            </w:r>
          </w:p>
        </w:tc>
        <w:tc>
          <w:tcPr>
            <w:tcW w:type="dxa" w:w="28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Approved By</w:t>
            </w:r>
          </w:p>
        </w:tc>
      </w:tr>
      <w:tr>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0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1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r>
      <w:tr>
        <w:tc>
          <w:tcPr>
            <w:tcW w:type="dxa" w:w="12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12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0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16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r>
      <w:tr>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1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0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1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c>
          <w:tcPr>
            <w:tcW w:type="dxa" w:w="2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tc>
      </w:tr>
      <w:tr>
        <w:tc>
          <w:tcPr>
            <w:tcW w:type="dxa" w:w="12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12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0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160"/>
            <w:tcBorders>
              <w:top w:val="single" w:color="CCCCCC" w:sz="1"/>
              <w:left w:val="single" w:color="CCCCCC" w:sz="1"/>
              <w:bottom w:val="single" w:color="CCCCCC" w:sz="1"/>
              <w:right w:val="single" w:color="CCCCCC" w:sz="1"/>
            </w:tcBorders>
            <w:tcMar>
              <w:top w:type="dxa" w:w="80"/>
              <w:left w:type="dxa" w:w="120"/>
              <w:bottom w:type="dxa" w:w="80"/>
              <w:right w:type="dxa" w:w="120"/>
            </w:tcMar>
          </w:tcPr>
          <w:p/>
        </w:tc>
        <w:tc>
          <w:tcPr>
            <w:tcW w:type="dxa" w:w="2800"/>
            <w:tcBorders>
              <w:top w:val="single" w:color="CCCCCC" w:sz="1"/>
              <w:left w:val="single" w:color="CCCCCC" w:sz="1"/>
              <w:bottom w:val="single" w:color="CCCCCC" w:sz="1"/>
              <w:right w:val="single" w:color="CCCCCC" w:sz="1"/>
            </w:tcBorders>
            <w:tcMar>
              <w:top w:type="dxa" w:w="80"/>
              <w:left w:type="dxa" w:w="120"/>
              <w:bottom w:type="dxa" w:w="80"/>
              <w:right w:type="dxa" w:w="120"/>
            </w:tcMar>
          </w:tcPr>
          <w:p/>
        </w:tc>
      </w:tr>
    </w:tbl>
    <w:p>
      <w:r>
        <w:br w:type="page"/>
      </w:r>
    </w:p>
    <w:p>
      <w:pPr>
        <w:spacing w:after="200"/>
      </w:pPr>
      <w:r>
        <w:rPr>
          <w:rFonts w:ascii="Arial" w:cs="Arial" w:eastAsia="Arial" w:hAnsi="Arial"/>
          <w:b/>
          <w:bCs/>
          <w:color w:val="1B3A5C"/>
          <w:sz w:val="32"/>
          <w:szCs w:val="32"/>
        </w:rPr>
        <w:t xml:space="preserve">Table of Contents</w:t>
      </w:r>
    </w:p>
    <w:sdt>
      <w:sdtPr>
        <w:alias w:val="Table of Contents"/>
      </w:sdtPr>
      <w:sdtContent>
        <w:p>
          <w:r>
            <w:fldChar w:fldCharType="begin" w:dirty="true"/>
            <w:instrText xml:space="preserve">TOC \h \o "1-2"</w:instrText>
            <w:fldChar w:fldCharType="separate"/>
          </w:r>
        </w:p>
        <w:p>
          <w:r>
            <w:fldChar w:fldCharType="end"/>
          </w:r>
        </w:p>
      </w:sdtContent>
    </w:sdt>
    <w:p>
      <w:r>
        <w:br w:type="page"/>
      </w:r>
    </w:p>
    <w:p>
      <w:pPr>
        <w:pStyle w:val="Heading1"/>
        <w:spacing w:before="360" w:after="120"/>
      </w:pPr>
      <w:r>
        <w:rPr>
          <w:rFonts w:ascii="Arial" w:cs="Arial" w:eastAsia="Arial" w:hAnsi="Arial"/>
          <w:b/>
          <w:bCs/>
          <w:color w:val="1B3A5C"/>
          <w:sz w:val="28"/>
          <w:szCs w:val="28"/>
        </w:rPr>
        <w:t xml:space="preserve">1. Purpose *</w:t>
      </w:r>
    </w:p>
    <w:p>
      <w:pPr>
        <w:spacing w:after="120"/>
      </w:pPr>
      <w:r>
        <w:rPr>
          <w:rFonts w:ascii="Arial" w:cs="Arial" w:eastAsia="Arial" w:hAnsi="Arial"/>
          <w:color w:val="333333"/>
          <w:sz w:val="20"/>
          <w:szCs w:val="20"/>
        </w:rPr>
        <w:t xml:space="preserve">The purpose of this policy is to define the standards, procedures, and responsibilities for employees who use personally owned devices—including smartphones, tablets, laptops, and other computing devices—to access [Organization Name]’s information systems, applications, email, and data.</w:t>
      </w:r>
    </w:p>
    <w:p>
      <w:pPr>
        <w:spacing w:after="120"/>
      </w:pPr>
      <w:r>
        <w:rPr>
          <w:rFonts w:ascii="Arial" w:cs="Arial" w:eastAsia="Arial" w:hAnsi="Arial"/>
          <w:color w:val="333333"/>
          <w:sz w:val="20"/>
          <w:szCs w:val="20"/>
        </w:rPr>
        <w:t xml:space="preserve">This policy is intended to:</w:t>
      </w:r>
    </w:p>
    <w:p>
      <w:pPr>
        <w:pStyle w:val="ListParagraph"/>
        <w:numPr>
          <w:ilvl w:val="0"/>
          <w:numId w:val="2"/>
        </w:numPr>
        <w:spacing w:after="60"/>
      </w:pPr>
      <w:r>
        <w:rPr>
          <w:rFonts w:ascii="Arial" w:cs="Arial" w:eastAsia="Arial" w:hAnsi="Arial"/>
          <w:color w:val="333333"/>
          <w:sz w:val="20"/>
          <w:szCs w:val="20"/>
        </w:rPr>
        <w:t xml:space="preserve">Protect organizational data and systems from unauthorized access, loss, or compromise</w:t>
      </w:r>
    </w:p>
    <w:p>
      <w:pPr>
        <w:pStyle w:val="ListParagraph"/>
        <w:numPr>
          <w:ilvl w:val="0"/>
          <w:numId w:val="2"/>
        </w:numPr>
        <w:spacing w:after="60"/>
      </w:pPr>
      <w:r>
        <w:rPr>
          <w:rFonts w:ascii="Arial" w:cs="Arial" w:eastAsia="Arial" w:hAnsi="Arial"/>
          <w:color w:val="333333"/>
          <w:sz w:val="20"/>
          <w:szCs w:val="20"/>
        </w:rPr>
        <w:t xml:space="preserve">Establish clear security requirements for personal devices connecting to corporate resources</w:t>
      </w:r>
    </w:p>
    <w:p>
      <w:pPr>
        <w:pStyle w:val="ListParagraph"/>
        <w:numPr>
          <w:ilvl w:val="0"/>
          <w:numId w:val="2"/>
        </w:numPr>
        <w:spacing w:after="60"/>
      </w:pPr>
      <w:r>
        <w:rPr>
          <w:rFonts w:ascii="Arial" w:cs="Arial" w:eastAsia="Arial" w:hAnsi="Arial"/>
          <w:color w:val="333333"/>
          <w:sz w:val="20"/>
          <w:szCs w:val="20"/>
        </w:rPr>
        <w:t xml:space="preserve">Define the rights and responsibilities of both the organization and the employee</w:t>
      </w:r>
    </w:p>
    <w:p>
      <w:pPr>
        <w:pStyle w:val="ListParagraph"/>
        <w:numPr>
          <w:ilvl w:val="0"/>
          <w:numId w:val="2"/>
        </w:numPr>
        <w:spacing w:after="60"/>
      </w:pPr>
      <w:r>
        <w:rPr>
          <w:rFonts w:ascii="Arial" w:cs="Arial" w:eastAsia="Arial" w:hAnsi="Arial"/>
          <w:color w:val="333333"/>
          <w:sz w:val="20"/>
          <w:szCs w:val="20"/>
        </w:rPr>
        <w:t xml:space="preserve">Support compliance with applicable regulations and cyber insurance requirements</w:t>
      </w:r>
    </w:p>
    <w:p>
      <w:pPr>
        <w:pStyle w:val="ListParagraph"/>
        <w:numPr>
          <w:ilvl w:val="0"/>
          <w:numId w:val="2"/>
        </w:numPr>
        <w:spacing w:after="60"/>
      </w:pPr>
      <w:r>
        <w:rPr>
          <w:rFonts w:ascii="Arial" w:cs="Arial" w:eastAsia="Arial" w:hAnsi="Arial"/>
          <w:color w:val="333333"/>
          <w:sz w:val="20"/>
          <w:szCs w:val="20"/>
        </w:rPr>
        <w:t xml:space="preserve">Reduce risk associated with the expanded attack surface created by personal device use</w:t>
      </w:r>
    </w:p>
    <w:p>
      <w:pPr>
        <w:pStyle w:val="Heading1"/>
        <w:spacing w:before="360" w:after="120"/>
      </w:pPr>
      <w:r>
        <w:rPr>
          <w:rFonts w:ascii="Arial" w:cs="Arial" w:eastAsia="Arial" w:hAnsi="Arial"/>
          <w:b/>
          <w:bCs/>
          <w:color w:val="1B3A5C"/>
          <w:sz w:val="28"/>
          <w:szCs w:val="28"/>
        </w:rPr>
        <w:t xml:space="preserve">2. Scope *</w:t>
      </w:r>
    </w:p>
    <w:p>
      <w:pPr>
        <w:spacing w:after="120"/>
      </w:pPr>
      <w:r>
        <w:rPr>
          <w:rFonts w:ascii="Arial" w:cs="Arial" w:eastAsia="Arial" w:hAnsi="Arial"/>
          <w:color w:val="333333"/>
          <w:sz w:val="20"/>
          <w:szCs w:val="20"/>
        </w:rPr>
        <w:t xml:space="preserve">This policy applies to all employees, contractors, temporary workers, and authorized third parties who use personally owned devices to:</w:t>
      </w:r>
    </w:p>
    <w:p>
      <w:pPr>
        <w:pStyle w:val="ListParagraph"/>
        <w:numPr>
          <w:ilvl w:val="0"/>
          <w:numId w:val="2"/>
        </w:numPr>
        <w:spacing w:after="60"/>
      </w:pPr>
      <w:r>
        <w:rPr>
          <w:rFonts w:ascii="Arial" w:cs="Arial" w:eastAsia="Arial" w:hAnsi="Arial"/>
          <w:color w:val="333333"/>
          <w:sz w:val="20"/>
          <w:szCs w:val="20"/>
        </w:rPr>
        <w:t xml:space="preserve">Access corporate email, calendar, or messaging systems</w:t>
      </w:r>
    </w:p>
    <w:p>
      <w:pPr>
        <w:pStyle w:val="ListParagraph"/>
        <w:numPr>
          <w:ilvl w:val="0"/>
          <w:numId w:val="2"/>
        </w:numPr>
        <w:spacing w:after="60"/>
      </w:pPr>
      <w:r>
        <w:rPr>
          <w:rFonts w:ascii="Arial" w:cs="Arial" w:eastAsia="Arial" w:hAnsi="Arial"/>
          <w:color w:val="333333"/>
          <w:sz w:val="20"/>
          <w:szCs w:val="20"/>
        </w:rPr>
        <w:t xml:space="preserve">Connect to the organization’s network (including VPN and Wi-Fi)</w:t>
      </w:r>
    </w:p>
    <w:p>
      <w:pPr>
        <w:pStyle w:val="ListParagraph"/>
        <w:numPr>
          <w:ilvl w:val="0"/>
          <w:numId w:val="2"/>
        </w:numPr>
        <w:spacing w:after="60"/>
      </w:pPr>
      <w:r>
        <w:rPr>
          <w:rFonts w:ascii="Arial" w:cs="Arial" w:eastAsia="Arial" w:hAnsi="Arial"/>
          <w:color w:val="333333"/>
          <w:sz w:val="20"/>
          <w:szCs w:val="20"/>
        </w:rPr>
        <w:t xml:space="preserve">Access cloud-based applications, file storage, or collaboration tools</w:t>
      </w:r>
    </w:p>
    <w:p>
      <w:pPr>
        <w:pStyle w:val="ListParagraph"/>
        <w:numPr>
          <w:ilvl w:val="0"/>
          <w:numId w:val="2"/>
        </w:numPr>
        <w:spacing w:after="60"/>
      </w:pPr>
      <w:r>
        <w:rPr>
          <w:rFonts w:ascii="Arial" w:cs="Arial" w:eastAsia="Arial" w:hAnsi="Arial"/>
          <w:color w:val="333333"/>
          <w:sz w:val="20"/>
          <w:szCs w:val="20"/>
        </w:rPr>
        <w:t xml:space="preserve">Store, process, or transmit organizational data of any classification</w:t>
      </w:r>
    </w:p>
    <w:p>
      <w:pPr>
        <w:pStyle w:val="ListParagraph"/>
        <w:numPr>
          <w:ilvl w:val="0"/>
          <w:numId w:val="2"/>
        </w:numPr>
        <w:spacing w:after="60"/>
      </w:pPr>
      <w:r>
        <w:rPr>
          <w:rFonts w:ascii="Arial" w:cs="Arial" w:eastAsia="Arial" w:hAnsi="Arial"/>
          <w:color w:val="333333"/>
          <w:sz w:val="20"/>
          <w:szCs w:val="20"/>
        </w:rPr>
        <w:t xml:space="preserve">Access internal systems, databases, or business applications</w:t>
      </w:r>
    </w:p>
    <w:p>
      <w:pPr>
        <w:pStyle w:val="Heading2"/>
        <w:spacing w:before="240" w:after="100"/>
      </w:pPr>
      <w:r>
        <w:rPr>
          <w:rFonts w:ascii="Arial" w:cs="Arial" w:eastAsia="Arial" w:hAnsi="Arial"/>
          <w:b/>
          <w:bCs/>
          <w:color w:val="2E75B6"/>
          <w:sz w:val="24"/>
          <w:szCs w:val="24"/>
        </w:rPr>
        <w:t xml:space="preserve">2.1 Covered Devices</w:t>
      </w:r>
    </w:p>
    <w:p>
      <w:pPr>
        <w:spacing w:after="120"/>
      </w:pPr>
      <w:r>
        <w:rPr>
          <w:rFonts w:ascii="Arial" w:cs="Arial" w:eastAsia="Arial" w:hAnsi="Arial"/>
          <w:color w:val="333333"/>
          <w:sz w:val="20"/>
          <w:szCs w:val="20"/>
        </w:rPr>
        <w:t xml:space="preserve">This policy covers all personally owned electronic devices, including but not limited to:</w:t>
      </w:r>
    </w:p>
    <w:p>
      <w:pPr>
        <w:pStyle w:val="ListParagraph"/>
        <w:numPr>
          <w:ilvl w:val="0"/>
          <w:numId w:val="2"/>
        </w:numPr>
        <w:spacing w:after="60"/>
      </w:pPr>
      <w:r>
        <w:rPr>
          <w:rFonts w:ascii="Arial" w:cs="Arial" w:eastAsia="Arial" w:hAnsi="Arial"/>
          <w:color w:val="333333"/>
          <w:sz w:val="20"/>
          <w:szCs w:val="20"/>
        </w:rPr>
        <w:t xml:space="preserve">Smartphones (iOS, Android)</w:t>
      </w:r>
    </w:p>
    <w:p>
      <w:pPr>
        <w:pStyle w:val="ListParagraph"/>
        <w:numPr>
          <w:ilvl w:val="0"/>
          <w:numId w:val="2"/>
        </w:numPr>
        <w:spacing w:after="60"/>
      </w:pPr>
      <w:r>
        <w:rPr>
          <w:rFonts w:ascii="Arial" w:cs="Arial" w:eastAsia="Arial" w:hAnsi="Arial"/>
          <w:color w:val="333333"/>
          <w:sz w:val="20"/>
          <w:szCs w:val="20"/>
        </w:rPr>
        <w:t xml:space="preserve">Tablets (iPad, Android tablets, Surface personal devices)</w:t>
      </w:r>
    </w:p>
    <w:p>
      <w:pPr>
        <w:pStyle w:val="ListParagraph"/>
        <w:numPr>
          <w:ilvl w:val="0"/>
          <w:numId w:val="2"/>
        </w:numPr>
        <w:spacing w:after="60"/>
      </w:pPr>
      <w:r>
        <w:rPr>
          <w:rFonts w:ascii="Arial" w:cs="Arial" w:eastAsia="Arial" w:hAnsi="Arial"/>
          <w:color w:val="333333"/>
          <w:sz w:val="20"/>
          <w:szCs w:val="20"/>
        </w:rPr>
        <w:t xml:space="preserve">Laptops and notebook computers</w:t>
      </w:r>
    </w:p>
    <w:p>
      <w:pPr>
        <w:pStyle w:val="ListParagraph"/>
        <w:numPr>
          <w:ilvl w:val="0"/>
          <w:numId w:val="2"/>
        </w:numPr>
        <w:spacing w:after="60"/>
      </w:pPr>
      <w:r>
        <w:rPr>
          <w:rFonts w:ascii="Arial" w:cs="Arial" w:eastAsia="Arial" w:hAnsi="Arial"/>
          <w:color w:val="333333"/>
          <w:sz w:val="20"/>
          <w:szCs w:val="20"/>
        </w:rPr>
        <w:t xml:space="preserve">Desktop computers used for remote work</w:t>
      </w:r>
    </w:p>
    <w:p>
      <w:pPr>
        <w:pStyle w:val="ListParagraph"/>
        <w:numPr>
          <w:ilvl w:val="0"/>
          <w:numId w:val="2"/>
        </w:numPr>
        <w:spacing w:after="60"/>
      </w:pPr>
      <w:r>
        <w:rPr>
          <w:rFonts w:ascii="Arial" w:cs="Arial" w:eastAsia="Arial" w:hAnsi="Arial"/>
          <w:color w:val="333333"/>
          <w:sz w:val="20"/>
          <w:szCs w:val="20"/>
        </w:rPr>
        <w:t xml:space="preserve">Wearable devices with data access capabilities (smartwatches, etc.)</w:t>
      </w:r>
    </w:p>
    <w:p>
      <w:pPr>
        <w:pStyle w:val="Heading2"/>
        <w:spacing w:before="240" w:after="100"/>
      </w:pPr>
      <w:r>
        <w:rPr>
          <w:rFonts w:ascii="Arial" w:cs="Arial" w:eastAsia="Arial" w:hAnsi="Arial"/>
          <w:b/>
          <w:bCs/>
          <w:color w:val="2E75B6"/>
          <w:sz w:val="24"/>
          <w:szCs w:val="24"/>
        </w:rPr>
        <w:t xml:space="preserve">2.2 Exclusions</w:t>
      </w:r>
    </w:p>
    <w:p>
      <w:pPr>
        <w:spacing w:after="120"/>
      </w:pPr>
      <w:r>
        <w:rPr>
          <w:rFonts w:ascii="Arial" w:cs="Arial" w:eastAsia="Arial" w:hAnsi="Arial"/>
          <w:color w:val="333333"/>
          <w:sz w:val="20"/>
          <w:szCs w:val="20"/>
        </w:rPr>
        <w:t xml:space="preserve">This policy does not apply to:</w:t>
      </w:r>
    </w:p>
    <w:p>
      <w:pPr>
        <w:pStyle w:val="ListParagraph"/>
        <w:numPr>
          <w:ilvl w:val="0"/>
          <w:numId w:val="2"/>
        </w:numPr>
        <w:spacing w:after="60"/>
      </w:pPr>
      <w:r>
        <w:rPr>
          <w:rFonts w:ascii="Arial" w:cs="Arial" w:eastAsia="Arial" w:hAnsi="Arial"/>
          <w:color w:val="333333"/>
          <w:sz w:val="20"/>
          <w:szCs w:val="20"/>
        </w:rPr>
        <w:t xml:space="preserve">Company-owned and company-issued devices (governed by the Acceptable Use Policy)</w:t>
      </w:r>
    </w:p>
    <w:p>
      <w:pPr>
        <w:pStyle w:val="ListParagraph"/>
        <w:numPr>
          <w:ilvl w:val="0"/>
          <w:numId w:val="2"/>
        </w:numPr>
        <w:spacing w:after="60"/>
      </w:pPr>
      <w:r>
        <w:rPr>
          <w:rFonts w:ascii="Arial" w:cs="Arial" w:eastAsia="Arial" w:hAnsi="Arial"/>
          <w:color w:val="333333"/>
          <w:sz w:val="20"/>
          <w:szCs w:val="20"/>
        </w:rPr>
        <w:t xml:space="preserve">Devices that do not access any organizational systems, data, or networks</w:t>
      </w:r>
    </w:p>
    <w:p>
      <w:pPr>
        <w:pStyle w:val="ListParagraph"/>
        <w:numPr>
          <w:ilvl w:val="0"/>
          <w:numId w:val="2"/>
        </w:numPr>
        <w:spacing w:after="60"/>
      </w:pPr>
      <w:r>
        <w:rPr>
          <w:rFonts w:ascii="Arial" w:cs="Arial" w:eastAsia="Arial" w:hAnsi="Arial"/>
          <w:color w:val="333333"/>
          <w:sz w:val="20"/>
          <w:szCs w:val="20"/>
        </w:rPr>
        <w:t xml:space="preserve">Guest Wi-Fi access that is isolated from corporate systems</w:t>
      </w:r>
    </w:p>
    <w:p>
      <w:r>
        <w:br w:type="page"/>
      </w:r>
    </w:p>
    <w:p>
      <w:pPr>
        <w:pStyle w:val="Heading1"/>
        <w:spacing w:before="360" w:after="120"/>
      </w:pPr>
      <w:r>
        <w:rPr>
          <w:rFonts w:ascii="Arial" w:cs="Arial" w:eastAsia="Arial" w:hAnsi="Arial"/>
          <w:b/>
          <w:bCs/>
          <w:color w:val="1B3A5C"/>
          <w:sz w:val="28"/>
          <w:szCs w:val="28"/>
        </w:rPr>
        <w:t xml:space="preserve">3. Eligibility and Enrollment *</w:t>
      </w:r>
    </w:p>
    <w:p>
      <w:pPr>
        <w:pStyle w:val="Heading2"/>
        <w:spacing w:before="240" w:after="100"/>
      </w:pPr>
      <w:r>
        <w:rPr>
          <w:rFonts w:ascii="Arial" w:cs="Arial" w:eastAsia="Arial" w:hAnsi="Arial"/>
          <w:b/>
          <w:bCs/>
          <w:color w:val="2E75B6"/>
          <w:sz w:val="24"/>
          <w:szCs w:val="24"/>
        </w:rPr>
        <w:t xml:space="preserve">3.1 Eligibility</w:t>
      </w:r>
    </w:p>
    <w:p>
      <w:pPr>
        <w:spacing w:after="120"/>
      </w:pPr>
      <w:r>
        <w:rPr>
          <w:rFonts w:ascii="Arial" w:cs="Arial" w:eastAsia="Arial" w:hAnsi="Arial"/>
          <w:color w:val="333333"/>
          <w:sz w:val="20"/>
          <w:szCs w:val="20"/>
        </w:rPr>
        <w:t xml:space="preserve">Participation in the BYOD program is voluntary and subject to the following conditions:</w:t>
      </w:r>
    </w:p>
    <w:p>
      <w:pPr>
        <w:pStyle w:val="ListParagraph"/>
        <w:numPr>
          <w:ilvl w:val="0"/>
          <w:numId w:val="3"/>
        </w:numPr>
        <w:spacing w:after="60"/>
      </w:pPr>
      <w:r>
        <w:rPr>
          <w:rFonts w:ascii="Arial" w:cs="Arial" w:eastAsia="Arial" w:hAnsi="Arial"/>
          <w:color w:val="333333"/>
          <w:sz w:val="20"/>
          <w:szCs w:val="20"/>
        </w:rPr>
        <w:t xml:space="preserve">The employee’s role requires mobile or remote access to organizational systems</w:t>
      </w:r>
    </w:p>
    <w:p>
      <w:pPr>
        <w:pStyle w:val="ListParagraph"/>
        <w:numPr>
          <w:ilvl w:val="0"/>
          <w:numId w:val="3"/>
        </w:numPr>
        <w:spacing w:after="60"/>
      </w:pPr>
      <w:r>
        <w:rPr>
          <w:rFonts w:ascii="Arial" w:cs="Arial" w:eastAsia="Arial" w:hAnsi="Arial"/>
          <w:color w:val="333333"/>
          <w:sz w:val="20"/>
          <w:szCs w:val="20"/>
        </w:rPr>
        <w:t xml:space="preserve">The employee’s manager approves participation in the BYOD program</w:t>
      </w:r>
    </w:p>
    <w:p>
      <w:pPr>
        <w:pStyle w:val="ListParagraph"/>
        <w:numPr>
          <w:ilvl w:val="0"/>
          <w:numId w:val="3"/>
        </w:numPr>
        <w:spacing w:after="60"/>
      </w:pPr>
      <w:r>
        <w:rPr>
          <w:rFonts w:ascii="Arial" w:cs="Arial" w:eastAsia="Arial" w:hAnsi="Arial"/>
          <w:color w:val="333333"/>
          <w:sz w:val="20"/>
          <w:szCs w:val="20"/>
        </w:rPr>
        <w:t xml:space="preserve">The personal device meets the minimum security requirements defined in this policy</w:t>
      </w:r>
    </w:p>
    <w:p>
      <w:pPr>
        <w:pStyle w:val="ListParagraph"/>
        <w:numPr>
          <w:ilvl w:val="0"/>
          <w:numId w:val="3"/>
        </w:numPr>
        <w:spacing w:after="60"/>
      </w:pPr>
      <w:r>
        <w:rPr>
          <w:rFonts w:ascii="Arial" w:cs="Arial" w:eastAsia="Arial" w:hAnsi="Arial"/>
          <w:color w:val="333333"/>
          <w:sz w:val="20"/>
          <w:szCs w:val="20"/>
        </w:rPr>
        <w:t xml:space="preserve">The employee acknowledges and signs the BYOD Agreement (Appendix A)</w:t>
      </w:r>
    </w:p>
    <w:p>
      <w:pPr>
        <w:pStyle w:val="ListParagraph"/>
        <w:numPr>
          <w:ilvl w:val="0"/>
          <w:numId w:val="3"/>
        </w:numPr>
        <w:spacing w:after="60"/>
      </w:pPr>
      <w:r>
        <w:rPr>
          <w:rFonts w:ascii="Arial" w:cs="Arial" w:eastAsia="Arial" w:hAnsi="Arial"/>
          <w:color w:val="333333"/>
          <w:sz w:val="20"/>
          <w:szCs w:val="20"/>
        </w:rPr>
        <w:t xml:space="preserve">IT verifies device compliance before granting access to corporate resources</w:t>
      </w:r>
    </w:p>
    <w:p>
      <w:pPr>
        <w:pStyle w:val="Heading2"/>
        <w:spacing w:before="240" w:after="100"/>
      </w:pPr>
      <w:r>
        <w:rPr>
          <w:rFonts w:ascii="Arial" w:cs="Arial" w:eastAsia="Arial" w:hAnsi="Arial"/>
          <w:b/>
          <w:bCs/>
          <w:color w:val="2E75B6"/>
          <w:sz w:val="24"/>
          <w:szCs w:val="24"/>
        </w:rPr>
        <w:t xml:space="preserve">3.2 Enrollment Process</w:t>
      </w:r>
    </w:p>
    <w:p>
      <w:pPr>
        <w:spacing w:after="120"/>
      </w:pPr>
      <w:r>
        <w:rPr>
          <w:rFonts w:ascii="Arial" w:cs="Arial" w:eastAsia="Arial" w:hAnsi="Arial"/>
          <w:color w:val="333333"/>
          <w:sz w:val="20"/>
          <w:szCs w:val="20"/>
        </w:rPr>
        <w:t xml:space="preserve">To enroll a personal device in the BYOD program:</w:t>
      </w:r>
    </w:p>
    <w:p>
      <w:pPr>
        <w:pStyle w:val="ListParagraph"/>
        <w:numPr>
          <w:ilvl w:val="0"/>
          <w:numId w:val="4"/>
        </w:numPr>
        <w:spacing w:after="60"/>
      </w:pPr>
      <w:r>
        <w:rPr>
          <w:rFonts w:ascii="Arial" w:cs="Arial" w:eastAsia="Arial" w:hAnsi="Arial"/>
          <w:color w:val="333333"/>
          <w:sz w:val="20"/>
          <w:szCs w:val="20"/>
        </w:rPr>
        <w:t xml:space="preserve">Submit a BYOD enrollment request to IT or through the designated self-service portal</w:t>
      </w:r>
    </w:p>
    <w:p>
      <w:pPr>
        <w:pStyle w:val="ListParagraph"/>
        <w:numPr>
          <w:ilvl w:val="0"/>
          <w:numId w:val="4"/>
        </w:numPr>
        <w:spacing w:after="60"/>
      </w:pPr>
      <w:r>
        <w:rPr>
          <w:rFonts w:ascii="Arial" w:cs="Arial" w:eastAsia="Arial" w:hAnsi="Arial"/>
          <w:color w:val="333333"/>
          <w:sz w:val="20"/>
          <w:szCs w:val="20"/>
        </w:rPr>
        <w:t xml:space="preserve">Read and sign the BYOD User Agreement (Appendix A)</w:t>
      </w:r>
    </w:p>
    <w:p>
      <w:pPr>
        <w:pStyle w:val="ListParagraph"/>
        <w:numPr>
          <w:ilvl w:val="0"/>
          <w:numId w:val="4"/>
        </w:numPr>
        <w:spacing w:after="60"/>
      </w:pPr>
      <w:r>
        <w:rPr>
          <w:rFonts w:ascii="Arial" w:cs="Arial" w:eastAsia="Arial" w:hAnsi="Arial"/>
          <w:color w:val="333333"/>
          <w:sz w:val="20"/>
          <w:szCs w:val="20"/>
        </w:rPr>
        <w:t xml:space="preserve">Present the device to IT for compliance verification and MDM enrollment</w:t>
      </w:r>
    </w:p>
    <w:p>
      <w:pPr>
        <w:pStyle w:val="ListParagraph"/>
        <w:numPr>
          <w:ilvl w:val="0"/>
          <w:numId w:val="4"/>
        </w:numPr>
        <w:spacing w:after="60"/>
      </w:pPr>
      <w:r>
        <w:rPr>
          <w:rFonts w:ascii="Arial" w:cs="Arial" w:eastAsia="Arial" w:hAnsi="Arial"/>
          <w:color w:val="333333"/>
          <w:sz w:val="20"/>
          <w:szCs w:val="20"/>
        </w:rPr>
        <w:t xml:space="preserve">IT installs required security software and configures access profiles</w:t>
      </w:r>
    </w:p>
    <w:p>
      <w:pPr>
        <w:pStyle w:val="ListParagraph"/>
        <w:numPr>
          <w:ilvl w:val="0"/>
          <w:numId w:val="4"/>
        </w:numPr>
        <w:spacing w:after="60"/>
      </w:pPr>
      <w:r>
        <w:rPr>
          <w:rFonts w:ascii="Arial" w:cs="Arial" w:eastAsia="Arial" w:hAnsi="Arial"/>
          <w:color w:val="333333"/>
          <w:sz w:val="20"/>
          <w:szCs w:val="20"/>
        </w:rPr>
        <w:t xml:space="preserve">Employee receives confirmation of enrollment and access credentials</w:t>
      </w:r>
    </w:p>
    <w:p>
      <w:pPr>
        <w:pStyle w:val="Heading2"/>
        <w:spacing w:before="240" w:after="100"/>
      </w:pPr>
      <w:r>
        <w:rPr>
          <w:rFonts w:ascii="Arial" w:cs="Arial" w:eastAsia="Arial" w:hAnsi="Arial"/>
          <w:b/>
          <w:bCs/>
          <w:color w:val="2E75B6"/>
          <w:sz w:val="24"/>
          <w:szCs w:val="24"/>
        </w:rPr>
        <w:t xml:space="preserve">3.3 Withdrawal and De-enrollment</w:t>
      </w:r>
    </w:p>
    <w:p>
      <w:pPr>
        <w:spacing w:after="120"/>
      </w:pPr>
      <w:r>
        <w:rPr>
          <w:rFonts w:ascii="Arial" w:cs="Arial" w:eastAsia="Arial" w:hAnsi="Arial"/>
          <w:color w:val="333333"/>
          <w:sz w:val="20"/>
          <w:szCs w:val="20"/>
        </w:rPr>
        <w:t xml:space="preserve">Employees may withdraw from the BYOD program at any time by notifying IT. Upon withdrawal or separation from the organization:</w:t>
      </w:r>
    </w:p>
    <w:p>
      <w:pPr>
        <w:pStyle w:val="ListParagraph"/>
        <w:numPr>
          <w:ilvl w:val="0"/>
          <w:numId w:val="2"/>
        </w:numPr>
        <w:spacing w:after="60"/>
      </w:pPr>
      <w:r>
        <w:rPr>
          <w:rFonts w:ascii="Arial" w:cs="Arial" w:eastAsia="Arial" w:hAnsi="Arial"/>
          <w:color w:val="333333"/>
          <w:sz w:val="20"/>
          <w:szCs w:val="20"/>
        </w:rPr>
        <w:t xml:space="preserve">All corporate data, applications, and access profiles will be removed from the device</w:t>
      </w:r>
    </w:p>
    <w:p>
      <w:pPr>
        <w:pStyle w:val="ListParagraph"/>
        <w:numPr>
          <w:ilvl w:val="0"/>
          <w:numId w:val="2"/>
        </w:numPr>
        <w:spacing w:after="60"/>
      </w:pPr>
      <w:r>
        <w:rPr>
          <w:rFonts w:ascii="Arial" w:cs="Arial" w:eastAsia="Arial" w:hAnsi="Arial"/>
          <w:color w:val="333333"/>
          <w:sz w:val="20"/>
          <w:szCs w:val="20"/>
        </w:rPr>
        <w:t xml:space="preserve">MDM enrollment will be revoked</w:t>
      </w:r>
    </w:p>
    <w:p>
      <w:pPr>
        <w:pStyle w:val="ListParagraph"/>
        <w:numPr>
          <w:ilvl w:val="0"/>
          <w:numId w:val="2"/>
        </w:numPr>
        <w:spacing w:after="60"/>
      </w:pPr>
      <w:r>
        <w:rPr>
          <w:rFonts w:ascii="Arial" w:cs="Arial" w:eastAsia="Arial" w:hAnsi="Arial"/>
          <w:color w:val="333333"/>
          <w:sz w:val="20"/>
          <w:szCs w:val="20"/>
        </w:rPr>
        <w:t xml:space="preserve">The employee must confirm that all organizational data has been deleted</w:t>
      </w:r>
    </w:p>
    <w:p>
      <w:pPr>
        <w:pStyle w:val="ListParagraph"/>
        <w:numPr>
          <w:ilvl w:val="0"/>
          <w:numId w:val="2"/>
        </w:numPr>
        <w:spacing w:after="60"/>
      </w:pPr>
      <w:r>
        <w:rPr>
          <w:rFonts w:ascii="Arial" w:cs="Arial" w:eastAsia="Arial" w:hAnsi="Arial"/>
          <w:color w:val="333333"/>
          <w:sz w:val="20"/>
          <w:szCs w:val="20"/>
        </w:rPr>
        <w:t xml:space="preserve">A remote wipe of the corporate container may be executed if the employee is unresponsive</w:t>
      </w:r>
    </w:p>
    <w:p>
      <w:r>
        <w:br w:type="page"/>
      </w:r>
    </w:p>
    <w:p>
      <w:pPr>
        <w:pStyle w:val="Heading1"/>
        <w:spacing w:before="360" w:after="120"/>
      </w:pPr>
      <w:r>
        <w:rPr>
          <w:rFonts w:ascii="Arial" w:cs="Arial" w:eastAsia="Arial" w:hAnsi="Arial"/>
          <w:b/>
          <w:bCs/>
          <w:color w:val="1B3A5C"/>
          <w:sz w:val="28"/>
          <w:szCs w:val="28"/>
        </w:rPr>
        <w:t xml:space="preserve">4. Device Security Requirements *</w:t>
      </w:r>
    </w:p>
    <w:p>
      <w:pPr>
        <w:spacing w:after="120"/>
      </w:pPr>
      <w:r>
        <w:rPr>
          <w:rFonts w:ascii="Arial" w:cs="Arial" w:eastAsia="Arial" w:hAnsi="Arial"/>
          <w:color w:val="333333"/>
          <w:sz w:val="20"/>
          <w:szCs w:val="20"/>
        </w:rPr>
        <w:t xml:space="preserve">All personal devices enrolled in the BYOD program must meet the following minimum security standards at all times. Non-compliant devices will be blocked from accessing corporate resources.</w:t>
      </w:r>
    </w:p>
    <w:p>
      <w:pPr>
        <w:pStyle w:val="Heading2"/>
        <w:spacing w:before="240" w:after="100"/>
      </w:pPr>
      <w:r>
        <w:rPr>
          <w:rFonts w:ascii="Arial" w:cs="Arial" w:eastAsia="Arial" w:hAnsi="Arial"/>
          <w:b/>
          <w:bCs/>
          <w:color w:val="2E75B6"/>
          <w:sz w:val="24"/>
          <w:szCs w:val="24"/>
        </w:rPr>
        <w:t xml:space="preserve">4.1 Operating System and Software</w:t>
      </w:r>
    </w:p>
    <w:p>
      <w:pPr>
        <w:pStyle w:val="ListParagraph"/>
        <w:numPr>
          <w:ilvl w:val="0"/>
          <w:numId w:val="2"/>
        </w:numPr>
        <w:spacing w:after="60"/>
      </w:pPr>
      <w:r>
        <w:rPr>
          <w:rFonts w:ascii="Arial" w:cs="Arial" w:eastAsia="Arial" w:hAnsi="Arial"/>
          <w:color w:val="333333"/>
          <w:sz w:val="20"/>
          <w:szCs w:val="20"/>
        </w:rPr>
        <w:t xml:space="preserve">Device must run a current, vendor-supported operating system version</w:t>
      </w:r>
    </w:p>
    <w:p>
      <w:pPr>
        <w:pStyle w:val="ListParagraph"/>
        <w:numPr>
          <w:ilvl w:val="0"/>
          <w:numId w:val="2"/>
        </w:numPr>
        <w:spacing w:after="60"/>
      </w:pPr>
      <w:r>
        <w:rPr>
          <w:rFonts w:ascii="Arial" w:cs="Arial" w:eastAsia="Arial" w:hAnsi="Arial"/>
          <w:color w:val="333333"/>
          <w:sz w:val="20"/>
          <w:szCs w:val="20"/>
        </w:rPr>
        <w:t xml:space="preserve">Automatic OS updates must be enabled; devices must be updated within 14 days of patch release</w:t>
      </w:r>
    </w:p>
    <w:p>
      <w:pPr>
        <w:pStyle w:val="ListParagraph"/>
        <w:numPr>
          <w:ilvl w:val="0"/>
          <w:numId w:val="2"/>
        </w:numPr>
        <w:spacing w:after="60"/>
      </w:pPr>
      <w:r>
        <w:rPr>
          <w:rFonts w:ascii="Arial" w:cs="Arial" w:eastAsia="Arial" w:hAnsi="Arial"/>
          <w:color w:val="333333"/>
          <w:sz w:val="20"/>
          <w:szCs w:val="20"/>
        </w:rPr>
        <w:t xml:space="preserve">Jailbroken, rooted, or otherwise modified devices are strictly prohibited</w:t>
      </w:r>
    </w:p>
    <w:p>
      <w:pPr>
        <w:pStyle w:val="ListParagraph"/>
        <w:numPr>
          <w:ilvl w:val="0"/>
          <w:numId w:val="2"/>
        </w:numPr>
        <w:spacing w:after="60"/>
      </w:pPr>
      <w:r>
        <w:rPr>
          <w:rFonts w:ascii="Arial" w:cs="Arial" w:eastAsia="Arial" w:hAnsi="Arial"/>
          <w:color w:val="333333"/>
          <w:sz w:val="20"/>
          <w:szCs w:val="20"/>
        </w:rPr>
        <w:t xml:space="preserve">Only applications from official app stores (Apple App Store, Google Play) may be installed</w:t>
      </w:r>
    </w:p>
    <w:p>
      <w:pPr>
        <w:pStyle w:val="ListParagraph"/>
        <w:numPr>
          <w:ilvl w:val="0"/>
          <w:numId w:val="2"/>
        </w:numPr>
        <w:spacing w:after="60"/>
      </w:pPr>
      <w:r>
        <w:rPr>
          <w:rFonts w:ascii="Arial" w:cs="Arial" w:eastAsia="Arial" w:hAnsi="Arial"/>
          <w:color w:val="333333"/>
          <w:sz w:val="20"/>
          <w:szCs w:val="20"/>
        </w:rPr>
        <w:t xml:space="preserve">Corporate applications must be installed from the organization’s managed app catalog</w:t>
      </w:r>
    </w:p>
    <w:p>
      <w:pPr>
        <w:pStyle w:val="Heading2"/>
        <w:spacing w:before="240" w:after="100"/>
      </w:pPr>
      <w:r>
        <w:rPr>
          <w:rFonts w:ascii="Arial" w:cs="Arial" w:eastAsia="Arial" w:hAnsi="Arial"/>
          <w:b/>
          <w:bCs/>
          <w:color w:val="2E75B6"/>
          <w:sz w:val="24"/>
          <w:szCs w:val="24"/>
        </w:rPr>
        <w:t xml:space="preserve">4.2 Authentication and Access</w:t>
      </w:r>
    </w:p>
    <w:p>
      <w:pPr>
        <w:pStyle w:val="ListParagraph"/>
        <w:numPr>
          <w:ilvl w:val="0"/>
          <w:numId w:val="2"/>
        </w:numPr>
        <w:spacing w:after="60"/>
      </w:pPr>
      <w:r>
        <w:rPr>
          <w:rFonts w:ascii="Arial" w:cs="Arial" w:eastAsia="Arial" w:hAnsi="Arial"/>
          <w:b/>
          <w:bCs/>
          <w:color w:val="333333"/>
          <w:sz w:val="20"/>
          <w:szCs w:val="20"/>
        </w:rPr>
        <w:t xml:space="preserve">Screen Lock: </w:t>
      </w:r>
      <w:r>
        <w:rPr>
          <w:rFonts w:ascii="Arial" w:cs="Arial" w:eastAsia="Arial" w:hAnsi="Arial"/>
          <w:color w:val="333333"/>
          <w:sz w:val="20"/>
          <w:szCs w:val="20"/>
        </w:rPr>
        <w:t xml:space="preserve">Device must have a passcode, PIN (minimum 6 digits), biometric authentication, or pattern lock enabled</w:t>
      </w:r>
    </w:p>
    <w:p>
      <w:pPr>
        <w:pStyle w:val="ListParagraph"/>
        <w:numPr>
          <w:ilvl w:val="0"/>
          <w:numId w:val="2"/>
        </w:numPr>
        <w:spacing w:after="60"/>
      </w:pPr>
      <w:r>
        <w:rPr>
          <w:rFonts w:ascii="Arial" w:cs="Arial" w:eastAsia="Arial" w:hAnsi="Arial"/>
          <w:b/>
          <w:bCs/>
          <w:color w:val="333333"/>
          <w:sz w:val="20"/>
          <w:szCs w:val="20"/>
        </w:rPr>
        <w:t xml:space="preserve">Auto-Lock: </w:t>
      </w:r>
      <w:r>
        <w:rPr>
          <w:rFonts w:ascii="Arial" w:cs="Arial" w:eastAsia="Arial" w:hAnsi="Arial"/>
          <w:color w:val="333333"/>
          <w:sz w:val="20"/>
          <w:szCs w:val="20"/>
        </w:rPr>
        <w:t xml:space="preserve">Screen must lock automatically after a maximum of 5 minutes of inactivity</w:t>
      </w:r>
    </w:p>
    <w:p>
      <w:pPr>
        <w:pStyle w:val="ListParagraph"/>
        <w:numPr>
          <w:ilvl w:val="0"/>
          <w:numId w:val="2"/>
        </w:numPr>
        <w:spacing w:after="60"/>
      </w:pPr>
      <w:r>
        <w:rPr>
          <w:rFonts w:ascii="Arial" w:cs="Arial" w:eastAsia="Arial" w:hAnsi="Arial"/>
          <w:b/>
          <w:bCs/>
          <w:color w:val="333333"/>
          <w:sz w:val="20"/>
          <w:szCs w:val="20"/>
        </w:rPr>
        <w:t xml:space="preserve">Failed Attempts: </w:t>
      </w:r>
      <w:r>
        <w:rPr>
          <w:rFonts w:ascii="Arial" w:cs="Arial" w:eastAsia="Arial" w:hAnsi="Arial"/>
          <w:color w:val="333333"/>
          <w:sz w:val="20"/>
          <w:szCs w:val="20"/>
        </w:rPr>
        <w:t xml:space="preserve">Device must wipe or lock after 10 consecutive failed authentication attempts</w:t>
      </w:r>
    </w:p>
    <w:p>
      <w:pPr>
        <w:pStyle w:val="ListParagraph"/>
        <w:numPr>
          <w:ilvl w:val="0"/>
          <w:numId w:val="2"/>
        </w:numPr>
        <w:spacing w:after="60"/>
      </w:pPr>
      <w:r>
        <w:rPr>
          <w:rFonts w:ascii="Arial" w:cs="Arial" w:eastAsia="Arial" w:hAnsi="Arial"/>
          <w:b/>
          <w:bCs/>
          <w:color w:val="333333"/>
          <w:sz w:val="20"/>
          <w:szCs w:val="20"/>
        </w:rPr>
        <w:t xml:space="preserve">MFA Required: </w:t>
      </w:r>
      <w:r>
        <w:rPr>
          <w:rFonts w:ascii="Arial" w:cs="Arial" w:eastAsia="Arial" w:hAnsi="Arial"/>
          <w:color w:val="333333"/>
          <w:sz w:val="20"/>
          <w:szCs w:val="20"/>
        </w:rPr>
        <w:t xml:space="preserve">Multi-factor authentication must be enabled for all corporate applications and services</w:t>
      </w:r>
    </w:p>
    <w:p>
      <w:pPr>
        <w:pStyle w:val="ListParagraph"/>
        <w:numPr>
          <w:ilvl w:val="0"/>
          <w:numId w:val="2"/>
        </w:numPr>
        <w:spacing w:after="60"/>
      </w:pPr>
      <w:r>
        <w:rPr>
          <w:rFonts w:ascii="Arial" w:cs="Arial" w:eastAsia="Arial" w:hAnsi="Arial"/>
          <w:b/>
          <w:bCs/>
          <w:color w:val="333333"/>
          <w:sz w:val="20"/>
          <w:szCs w:val="20"/>
        </w:rPr>
        <w:t xml:space="preserve">Password Manager: </w:t>
      </w:r>
      <w:r>
        <w:rPr>
          <w:rFonts w:ascii="Arial" w:cs="Arial" w:eastAsia="Arial" w:hAnsi="Arial"/>
          <w:color w:val="333333"/>
          <w:sz w:val="20"/>
          <w:szCs w:val="20"/>
        </w:rPr>
        <w:t xml:space="preserve">Use of the organization-provided password manager is required for corporate accounts</w:t>
      </w:r>
    </w:p>
    <w:p>
      <w:pPr>
        <w:pStyle w:val="Heading2"/>
        <w:spacing w:before="240" w:after="100"/>
      </w:pPr>
      <w:r>
        <w:rPr>
          <w:rFonts w:ascii="Arial" w:cs="Arial" w:eastAsia="Arial" w:hAnsi="Arial"/>
          <w:b/>
          <w:bCs/>
          <w:color w:val="2E75B6"/>
          <w:sz w:val="24"/>
          <w:szCs w:val="24"/>
        </w:rPr>
        <w:t xml:space="preserve">4.3 Encryption and Data Protection</w:t>
      </w:r>
    </w:p>
    <w:p>
      <w:pPr>
        <w:pStyle w:val="ListParagraph"/>
        <w:numPr>
          <w:ilvl w:val="0"/>
          <w:numId w:val="2"/>
        </w:numPr>
        <w:spacing w:after="60"/>
      </w:pPr>
      <w:r>
        <w:rPr>
          <w:rFonts w:ascii="Arial" w:cs="Arial" w:eastAsia="Arial" w:hAnsi="Arial"/>
          <w:color w:val="333333"/>
          <w:sz w:val="20"/>
          <w:szCs w:val="20"/>
        </w:rPr>
        <w:t xml:space="preserve">Full-device encryption must be enabled (iOS encryption, Android encryption, BitLocker, FileVault)</w:t>
      </w:r>
    </w:p>
    <w:p>
      <w:pPr>
        <w:pStyle w:val="ListParagraph"/>
        <w:numPr>
          <w:ilvl w:val="0"/>
          <w:numId w:val="2"/>
        </w:numPr>
        <w:spacing w:after="60"/>
      </w:pPr>
      <w:r>
        <w:rPr>
          <w:rFonts w:ascii="Arial" w:cs="Arial" w:eastAsia="Arial" w:hAnsi="Arial"/>
          <w:color w:val="333333"/>
          <w:sz w:val="20"/>
          <w:szCs w:val="20"/>
        </w:rPr>
        <w:t xml:space="preserve">SD cards and removable storage must be encrypted or prohibited</w:t>
      </w:r>
    </w:p>
    <w:p>
      <w:pPr>
        <w:pStyle w:val="ListParagraph"/>
        <w:numPr>
          <w:ilvl w:val="0"/>
          <w:numId w:val="2"/>
        </w:numPr>
        <w:spacing w:after="60"/>
      </w:pPr>
      <w:r>
        <w:rPr>
          <w:rFonts w:ascii="Arial" w:cs="Arial" w:eastAsia="Arial" w:hAnsi="Arial"/>
          <w:color w:val="333333"/>
          <w:sz w:val="20"/>
          <w:szCs w:val="20"/>
        </w:rPr>
        <w:t xml:space="preserve">Corporate data must be stored only within managed applications or approved cloud platforms</w:t>
      </w:r>
    </w:p>
    <w:p>
      <w:pPr>
        <w:pStyle w:val="ListParagraph"/>
        <w:numPr>
          <w:ilvl w:val="0"/>
          <w:numId w:val="2"/>
        </w:numPr>
        <w:spacing w:after="60"/>
      </w:pPr>
      <w:r>
        <w:rPr>
          <w:rFonts w:ascii="Arial" w:cs="Arial" w:eastAsia="Arial" w:hAnsi="Arial"/>
          <w:color w:val="333333"/>
          <w:sz w:val="20"/>
          <w:szCs w:val="20"/>
        </w:rPr>
        <w:t xml:space="preserve">Employees must not copy corporate data to personal applications, storage, or cloud accounts</w:t>
      </w:r>
    </w:p>
    <w:p>
      <w:pPr>
        <w:pStyle w:val="ListParagraph"/>
        <w:numPr>
          <w:ilvl w:val="0"/>
          <w:numId w:val="2"/>
        </w:numPr>
        <w:spacing w:after="60"/>
      </w:pPr>
      <w:r>
        <w:rPr>
          <w:rFonts w:ascii="Arial" w:cs="Arial" w:eastAsia="Arial" w:hAnsi="Arial"/>
          <w:color w:val="333333"/>
          <w:sz w:val="20"/>
          <w:szCs w:val="20"/>
        </w:rPr>
        <w:t xml:space="preserve">Screenshots and screen recordings of sensitive corporate data are prohibited</w:t>
      </w:r>
    </w:p>
    <w:p>
      <w:pPr>
        <w:pStyle w:val="Heading2"/>
        <w:spacing w:before="240" w:after="100"/>
      </w:pPr>
      <w:r>
        <w:rPr>
          <w:rFonts w:ascii="Arial" w:cs="Arial" w:eastAsia="Arial" w:hAnsi="Arial"/>
          <w:b/>
          <w:bCs/>
          <w:color w:val="2E75B6"/>
          <w:sz w:val="24"/>
          <w:szCs w:val="24"/>
        </w:rPr>
        <w:t xml:space="preserve">4.4 Network Security</w:t>
      </w:r>
    </w:p>
    <w:p>
      <w:pPr>
        <w:pStyle w:val="ListParagraph"/>
        <w:numPr>
          <w:ilvl w:val="0"/>
          <w:numId w:val="2"/>
        </w:numPr>
        <w:spacing w:after="60"/>
      </w:pPr>
      <w:r>
        <w:rPr>
          <w:rFonts w:ascii="Arial" w:cs="Arial" w:eastAsia="Arial" w:hAnsi="Arial"/>
          <w:color w:val="333333"/>
          <w:sz w:val="20"/>
          <w:szCs w:val="20"/>
        </w:rPr>
        <w:t xml:space="preserve">VPN must be used when accessing corporate resources over any non-corporate network</w:t>
      </w:r>
    </w:p>
    <w:p>
      <w:pPr>
        <w:pStyle w:val="ListParagraph"/>
        <w:numPr>
          <w:ilvl w:val="0"/>
          <w:numId w:val="2"/>
        </w:numPr>
        <w:spacing w:after="60"/>
      </w:pPr>
      <w:r>
        <w:rPr>
          <w:rFonts w:ascii="Arial" w:cs="Arial" w:eastAsia="Arial" w:hAnsi="Arial"/>
          <w:color w:val="333333"/>
          <w:sz w:val="20"/>
          <w:szCs w:val="20"/>
        </w:rPr>
        <w:t xml:space="preserve">Automatic connection to open or public Wi-Fi networks must be disabled</w:t>
      </w:r>
    </w:p>
    <w:p>
      <w:pPr>
        <w:pStyle w:val="ListParagraph"/>
        <w:numPr>
          <w:ilvl w:val="0"/>
          <w:numId w:val="2"/>
        </w:numPr>
        <w:spacing w:after="60"/>
      </w:pPr>
      <w:r>
        <w:rPr>
          <w:rFonts w:ascii="Arial" w:cs="Arial" w:eastAsia="Arial" w:hAnsi="Arial"/>
          <w:color w:val="333333"/>
          <w:sz w:val="20"/>
          <w:szCs w:val="20"/>
        </w:rPr>
        <w:t xml:space="preserve">Bluetooth and NFC should be disabled when not actively in use</w:t>
      </w:r>
    </w:p>
    <w:p>
      <w:pPr>
        <w:pStyle w:val="ListParagraph"/>
        <w:numPr>
          <w:ilvl w:val="0"/>
          <w:numId w:val="2"/>
        </w:numPr>
        <w:spacing w:after="60"/>
      </w:pPr>
      <w:r>
        <w:rPr>
          <w:rFonts w:ascii="Arial" w:cs="Arial" w:eastAsia="Arial" w:hAnsi="Arial"/>
          <w:color w:val="333333"/>
          <w:sz w:val="20"/>
          <w:szCs w:val="20"/>
        </w:rPr>
        <w:t xml:space="preserve">Personal hotspot sharing is prohibited while connected to corporate VPN</w:t>
      </w:r>
    </w:p>
    <w:p>
      <w:pPr>
        <w:pStyle w:val="ListParagraph"/>
        <w:numPr>
          <w:ilvl w:val="0"/>
          <w:numId w:val="2"/>
        </w:numPr>
        <w:spacing w:after="60"/>
      </w:pPr>
      <w:r>
        <w:rPr>
          <w:rFonts w:ascii="Arial" w:cs="Arial" w:eastAsia="Arial" w:hAnsi="Arial"/>
          <w:color w:val="333333"/>
          <w:sz w:val="20"/>
          <w:szCs w:val="20"/>
        </w:rPr>
        <w:t xml:space="preserve">Home Wi-Fi must use WPA2 or WPA3 encryption with a strong password</w:t>
      </w:r>
    </w:p>
    <w:p>
      <w:pPr>
        <w:pStyle w:val="Heading2"/>
        <w:spacing w:before="240" w:after="100"/>
      </w:pPr>
      <w:r>
        <w:rPr>
          <w:rFonts w:ascii="Arial" w:cs="Arial" w:eastAsia="Arial" w:hAnsi="Arial"/>
          <w:b/>
          <w:bCs/>
          <w:color w:val="2E75B6"/>
          <w:sz w:val="24"/>
          <w:szCs w:val="24"/>
        </w:rPr>
        <w:t xml:space="preserve">4.5 Endpoint Protection</w:t>
      </w:r>
    </w:p>
    <w:p>
      <w:pPr>
        <w:pStyle w:val="ListParagraph"/>
        <w:numPr>
          <w:ilvl w:val="0"/>
          <w:numId w:val="2"/>
        </w:numPr>
        <w:spacing w:after="60"/>
      </w:pPr>
      <w:r>
        <w:rPr>
          <w:rFonts w:ascii="Arial" w:cs="Arial" w:eastAsia="Arial" w:hAnsi="Arial"/>
          <w:color w:val="333333"/>
          <w:sz w:val="20"/>
          <w:szCs w:val="20"/>
        </w:rPr>
        <w:t xml:space="preserve">Organization-approved endpoint protection software must be installed and active</w:t>
      </w:r>
    </w:p>
    <w:p>
      <w:pPr>
        <w:pStyle w:val="ListParagraph"/>
        <w:numPr>
          <w:ilvl w:val="0"/>
          <w:numId w:val="2"/>
        </w:numPr>
        <w:spacing w:after="60"/>
      </w:pPr>
      <w:r>
        <w:rPr>
          <w:rFonts w:ascii="Arial" w:cs="Arial" w:eastAsia="Arial" w:hAnsi="Arial"/>
          <w:color w:val="333333"/>
          <w:sz w:val="20"/>
          <w:szCs w:val="20"/>
        </w:rPr>
        <w:t xml:space="preserve">Mobile Device Management (MDM) agent must be installed and enrolled</w:t>
      </w:r>
    </w:p>
    <w:p>
      <w:pPr>
        <w:pStyle w:val="ListParagraph"/>
        <w:numPr>
          <w:ilvl w:val="0"/>
          <w:numId w:val="2"/>
        </w:numPr>
        <w:spacing w:after="60"/>
      </w:pPr>
      <w:r>
        <w:rPr>
          <w:rFonts w:ascii="Arial" w:cs="Arial" w:eastAsia="Arial" w:hAnsi="Arial"/>
          <w:color w:val="333333"/>
          <w:sz w:val="20"/>
          <w:szCs w:val="20"/>
        </w:rPr>
        <w:t xml:space="preserve">MDM must not be disabled, tampered with, or uninstalled by the user</w:t>
      </w:r>
    </w:p>
    <w:p>
      <w:pPr>
        <w:pStyle w:val="ListParagraph"/>
        <w:numPr>
          <w:ilvl w:val="0"/>
          <w:numId w:val="2"/>
        </w:numPr>
        <w:spacing w:after="60"/>
      </w:pPr>
      <w:r>
        <w:rPr>
          <w:rFonts w:ascii="Arial" w:cs="Arial" w:eastAsia="Arial" w:hAnsi="Arial"/>
          <w:color w:val="333333"/>
          <w:sz w:val="20"/>
          <w:szCs w:val="20"/>
        </w:rPr>
        <w:t xml:space="preserve">Device must pass regular compliance checks; non-compliant devices will be quarantined</w:t>
      </w:r>
    </w:p>
    <w:p>
      <w:r>
        <w:br w:type="page"/>
      </w:r>
    </w:p>
    <w:p>
      <w:pPr>
        <w:pStyle w:val="Heading1"/>
        <w:spacing w:before="360" w:after="120"/>
      </w:pPr>
      <w:r>
        <w:rPr>
          <w:rFonts w:ascii="Arial" w:cs="Arial" w:eastAsia="Arial" w:hAnsi="Arial"/>
          <w:b/>
          <w:bCs/>
          <w:color w:val="1B3A5C"/>
          <w:sz w:val="28"/>
          <w:szCs w:val="28"/>
        </w:rPr>
        <w:t xml:space="preserve">5. Acceptable Use *</w:t>
      </w:r>
    </w:p>
    <w:p>
      <w:pPr>
        <w:pStyle w:val="Heading2"/>
        <w:spacing w:before="240" w:after="100"/>
      </w:pPr>
      <w:r>
        <w:rPr>
          <w:rFonts w:ascii="Arial" w:cs="Arial" w:eastAsia="Arial" w:hAnsi="Arial"/>
          <w:b/>
          <w:bCs/>
          <w:color w:val="2E75B6"/>
          <w:sz w:val="24"/>
          <w:szCs w:val="24"/>
        </w:rPr>
        <w:t xml:space="preserve">5.1 Permitted Use</w:t>
      </w:r>
    </w:p>
    <w:p>
      <w:pPr>
        <w:spacing w:after="120"/>
      </w:pPr>
      <w:r>
        <w:rPr>
          <w:rFonts w:ascii="Arial" w:cs="Arial" w:eastAsia="Arial" w:hAnsi="Arial"/>
          <w:color w:val="333333"/>
          <w:sz w:val="20"/>
          <w:szCs w:val="20"/>
        </w:rPr>
        <w:t xml:space="preserve">Employees may use enrolled personal devices to:</w:t>
      </w:r>
    </w:p>
    <w:p>
      <w:pPr>
        <w:pStyle w:val="ListParagraph"/>
        <w:numPr>
          <w:ilvl w:val="0"/>
          <w:numId w:val="2"/>
        </w:numPr>
        <w:spacing w:after="60"/>
      </w:pPr>
      <w:r>
        <w:rPr>
          <w:rFonts w:ascii="Arial" w:cs="Arial" w:eastAsia="Arial" w:hAnsi="Arial"/>
          <w:color w:val="333333"/>
          <w:sz w:val="20"/>
          <w:szCs w:val="20"/>
        </w:rPr>
        <w:t xml:space="preserve">Access corporate email, calendar, and contacts through approved applications</w:t>
      </w:r>
    </w:p>
    <w:p>
      <w:pPr>
        <w:pStyle w:val="ListParagraph"/>
        <w:numPr>
          <w:ilvl w:val="0"/>
          <w:numId w:val="2"/>
        </w:numPr>
        <w:spacing w:after="60"/>
      </w:pPr>
      <w:r>
        <w:rPr>
          <w:rFonts w:ascii="Arial" w:cs="Arial" w:eastAsia="Arial" w:hAnsi="Arial"/>
          <w:color w:val="333333"/>
          <w:sz w:val="20"/>
          <w:szCs w:val="20"/>
        </w:rPr>
        <w:t xml:space="preserve">Use approved collaboration and messaging platforms (Teams, Slack, etc.)</w:t>
      </w:r>
    </w:p>
    <w:p>
      <w:pPr>
        <w:pStyle w:val="ListParagraph"/>
        <w:numPr>
          <w:ilvl w:val="0"/>
          <w:numId w:val="2"/>
        </w:numPr>
        <w:spacing w:after="60"/>
      </w:pPr>
      <w:r>
        <w:rPr>
          <w:rFonts w:ascii="Arial" w:cs="Arial" w:eastAsia="Arial" w:hAnsi="Arial"/>
          <w:color w:val="333333"/>
          <w:sz w:val="20"/>
          <w:szCs w:val="20"/>
        </w:rPr>
        <w:t xml:space="preserve">Access cloud-based business applications through approved portals</w:t>
      </w:r>
    </w:p>
    <w:p>
      <w:pPr>
        <w:pStyle w:val="ListParagraph"/>
        <w:numPr>
          <w:ilvl w:val="0"/>
          <w:numId w:val="2"/>
        </w:numPr>
        <w:spacing w:after="60"/>
      </w:pPr>
      <w:r>
        <w:rPr>
          <w:rFonts w:ascii="Arial" w:cs="Arial" w:eastAsia="Arial" w:hAnsi="Arial"/>
          <w:color w:val="333333"/>
          <w:sz w:val="20"/>
          <w:szCs w:val="20"/>
        </w:rPr>
        <w:t xml:space="preserve">Store work documents in approved, managed cloud storage locations</w:t>
      </w:r>
    </w:p>
    <w:p>
      <w:pPr>
        <w:pStyle w:val="ListParagraph"/>
        <w:numPr>
          <w:ilvl w:val="0"/>
          <w:numId w:val="2"/>
        </w:numPr>
        <w:spacing w:after="60"/>
      </w:pPr>
      <w:r>
        <w:rPr>
          <w:rFonts w:ascii="Arial" w:cs="Arial" w:eastAsia="Arial" w:hAnsi="Arial"/>
          <w:color w:val="333333"/>
          <w:sz w:val="20"/>
          <w:szCs w:val="20"/>
        </w:rPr>
        <w:t xml:space="preserve">Participate in video conferences and virtual meetings using approved tools</w:t>
      </w:r>
    </w:p>
    <w:p>
      <w:pPr>
        <w:pStyle w:val="Heading2"/>
        <w:spacing w:before="240" w:after="100"/>
      </w:pPr>
      <w:r>
        <w:rPr>
          <w:rFonts w:ascii="Arial" w:cs="Arial" w:eastAsia="Arial" w:hAnsi="Arial"/>
          <w:b/>
          <w:bCs/>
          <w:color w:val="2E75B6"/>
          <w:sz w:val="24"/>
          <w:szCs w:val="24"/>
        </w:rPr>
        <w:t xml:space="preserve">5.2 Prohibited Use</w:t>
      </w:r>
    </w:p>
    <w:p>
      <w:pPr>
        <w:spacing w:after="120"/>
      </w:pPr>
      <w:r>
        <w:rPr>
          <w:rFonts w:ascii="Arial" w:cs="Arial" w:eastAsia="Arial" w:hAnsi="Arial"/>
          <w:color w:val="333333"/>
          <w:sz w:val="20"/>
          <w:szCs w:val="20"/>
        </w:rPr>
        <w:t xml:space="preserve">The following activities are prohibited on personal devices used to access corporate resources:</w:t>
      </w:r>
    </w:p>
    <w:p>
      <w:pPr>
        <w:pStyle w:val="ListParagraph"/>
        <w:numPr>
          <w:ilvl w:val="0"/>
          <w:numId w:val="2"/>
        </w:numPr>
        <w:spacing w:after="60"/>
      </w:pPr>
      <w:r>
        <w:rPr>
          <w:rFonts w:ascii="Arial" w:cs="Arial" w:eastAsia="Arial" w:hAnsi="Arial"/>
          <w:color w:val="333333"/>
          <w:sz w:val="20"/>
          <w:szCs w:val="20"/>
        </w:rPr>
        <w:t xml:space="preserve">Storing corporate data in personal cloud accounts (personal Dropbox, Google Drive, iCloud, etc.)</w:t>
      </w:r>
    </w:p>
    <w:p>
      <w:pPr>
        <w:pStyle w:val="ListParagraph"/>
        <w:numPr>
          <w:ilvl w:val="0"/>
          <w:numId w:val="2"/>
        </w:numPr>
        <w:spacing w:after="60"/>
      </w:pPr>
      <w:r>
        <w:rPr>
          <w:rFonts w:ascii="Arial" w:cs="Arial" w:eastAsia="Arial" w:hAnsi="Arial"/>
          <w:color w:val="333333"/>
          <w:sz w:val="20"/>
          <w:szCs w:val="20"/>
        </w:rPr>
        <w:t xml:space="preserve">Forwarding corporate email to personal email accounts</w:t>
      </w:r>
    </w:p>
    <w:p>
      <w:pPr>
        <w:pStyle w:val="ListParagraph"/>
        <w:numPr>
          <w:ilvl w:val="0"/>
          <w:numId w:val="2"/>
        </w:numPr>
        <w:spacing w:after="60"/>
      </w:pPr>
      <w:r>
        <w:rPr>
          <w:rFonts w:ascii="Arial" w:cs="Arial" w:eastAsia="Arial" w:hAnsi="Arial"/>
          <w:color w:val="333333"/>
          <w:sz w:val="20"/>
          <w:szCs w:val="20"/>
        </w:rPr>
        <w:t xml:space="preserve">Sharing the device with family members, friends, or unauthorized individuals while corporate data is accessible</w:t>
      </w:r>
    </w:p>
    <w:p>
      <w:pPr>
        <w:pStyle w:val="ListParagraph"/>
        <w:numPr>
          <w:ilvl w:val="0"/>
          <w:numId w:val="2"/>
        </w:numPr>
        <w:spacing w:after="60"/>
      </w:pPr>
      <w:r>
        <w:rPr>
          <w:rFonts w:ascii="Arial" w:cs="Arial" w:eastAsia="Arial" w:hAnsi="Arial"/>
          <w:color w:val="333333"/>
          <w:sz w:val="20"/>
          <w:szCs w:val="20"/>
        </w:rPr>
        <w:t xml:space="preserve">Using the device for illegal activities or activities that violate organizational policies</w:t>
      </w:r>
    </w:p>
    <w:p>
      <w:pPr>
        <w:pStyle w:val="ListParagraph"/>
        <w:numPr>
          <w:ilvl w:val="0"/>
          <w:numId w:val="2"/>
        </w:numPr>
        <w:spacing w:after="60"/>
      </w:pPr>
      <w:r>
        <w:rPr>
          <w:rFonts w:ascii="Arial" w:cs="Arial" w:eastAsia="Arial" w:hAnsi="Arial"/>
          <w:color w:val="333333"/>
          <w:sz w:val="20"/>
          <w:szCs w:val="20"/>
        </w:rPr>
        <w:t xml:space="preserve">Disabling, circumventing, or tampering with any security controls required by this policy</w:t>
      </w:r>
    </w:p>
    <w:p>
      <w:pPr>
        <w:pStyle w:val="ListParagraph"/>
        <w:numPr>
          <w:ilvl w:val="0"/>
          <w:numId w:val="2"/>
        </w:numPr>
        <w:spacing w:after="60"/>
      </w:pPr>
      <w:r>
        <w:rPr>
          <w:rFonts w:ascii="Arial" w:cs="Arial" w:eastAsia="Arial" w:hAnsi="Arial"/>
          <w:color w:val="333333"/>
          <w:sz w:val="20"/>
          <w:szCs w:val="20"/>
        </w:rPr>
        <w:t xml:space="preserve">Connecting to unsecured or unknown Wi-Fi networks without VPN protection</w:t>
      </w:r>
    </w:p>
    <w:p>
      <w:pPr>
        <w:pStyle w:val="ListParagraph"/>
        <w:numPr>
          <w:ilvl w:val="0"/>
          <w:numId w:val="2"/>
        </w:numPr>
        <w:spacing w:after="60"/>
      </w:pPr>
      <w:r>
        <w:rPr>
          <w:rFonts w:ascii="Arial" w:cs="Arial" w:eastAsia="Arial" w:hAnsi="Arial"/>
          <w:color w:val="333333"/>
          <w:sz w:val="20"/>
          <w:szCs w:val="20"/>
        </w:rPr>
        <w:t xml:space="preserve">Installing applications from unofficial sources or sideloading applications</w:t>
      </w:r>
    </w:p>
    <w:p>
      <w:pPr>
        <w:pStyle w:val="ListParagraph"/>
        <w:numPr>
          <w:ilvl w:val="0"/>
          <w:numId w:val="2"/>
        </w:numPr>
        <w:spacing w:after="60"/>
      </w:pPr>
      <w:r>
        <w:rPr>
          <w:rFonts w:ascii="Arial" w:cs="Arial" w:eastAsia="Arial" w:hAnsi="Arial"/>
          <w:color w:val="333333"/>
          <w:sz w:val="20"/>
          <w:szCs w:val="20"/>
        </w:rPr>
        <w:t xml:space="preserve">Taking screenshots or recordings of confidential or restricted corporate information</w:t>
      </w:r>
    </w:p>
    <w:p>
      <w:pPr>
        <w:pStyle w:val="Heading2"/>
        <w:spacing w:before="240" w:after="100"/>
      </w:pPr>
      <w:r>
        <w:rPr>
          <w:rFonts w:ascii="Arial" w:cs="Arial" w:eastAsia="Arial" w:hAnsi="Arial"/>
          <w:b/>
          <w:bCs/>
          <w:color w:val="2E75B6"/>
          <w:sz w:val="24"/>
          <w:szCs w:val="24"/>
        </w:rPr>
        <w:t xml:space="preserve">5.3 Personal Use</w:t>
      </w:r>
    </w:p>
    <w:p>
      <w:pPr>
        <w:spacing w:after="120"/>
      </w:pPr>
      <w:r>
        <w:rPr>
          <w:rFonts w:ascii="Arial" w:cs="Arial" w:eastAsia="Arial" w:hAnsi="Arial"/>
          <w:color w:val="333333"/>
          <w:sz w:val="20"/>
          <w:szCs w:val="20"/>
        </w:rPr>
        <w:t xml:space="preserve">The organization acknowledges that BYOD devices are personally owned and personal use is expected. However:</w:t>
      </w:r>
    </w:p>
    <w:p>
      <w:pPr>
        <w:pStyle w:val="ListParagraph"/>
        <w:numPr>
          <w:ilvl w:val="0"/>
          <w:numId w:val="2"/>
        </w:numPr>
        <w:spacing w:after="60"/>
      </w:pPr>
      <w:r>
        <w:rPr>
          <w:rFonts w:ascii="Arial" w:cs="Arial" w:eastAsia="Arial" w:hAnsi="Arial"/>
          <w:color w:val="333333"/>
          <w:sz w:val="20"/>
          <w:szCs w:val="20"/>
        </w:rPr>
        <w:t xml:space="preserve">Personal use must not interfere with work responsibilities or compromise corporate security</w:t>
      </w:r>
    </w:p>
    <w:p>
      <w:pPr>
        <w:pStyle w:val="ListParagraph"/>
        <w:numPr>
          <w:ilvl w:val="0"/>
          <w:numId w:val="2"/>
        </w:numPr>
        <w:spacing w:after="60"/>
      </w:pPr>
      <w:r>
        <w:rPr>
          <w:rFonts w:ascii="Arial" w:cs="Arial" w:eastAsia="Arial" w:hAnsi="Arial"/>
          <w:color w:val="333333"/>
          <w:sz w:val="20"/>
          <w:szCs w:val="20"/>
        </w:rPr>
        <w:t xml:space="preserve">The organization assumes no responsibility for personal data, applications, or content on the device</w:t>
      </w:r>
    </w:p>
    <w:p>
      <w:pPr>
        <w:pStyle w:val="ListParagraph"/>
        <w:numPr>
          <w:ilvl w:val="0"/>
          <w:numId w:val="2"/>
        </w:numPr>
        <w:spacing w:after="60"/>
      </w:pPr>
      <w:r>
        <w:rPr>
          <w:rFonts w:ascii="Arial" w:cs="Arial" w:eastAsia="Arial" w:hAnsi="Arial"/>
          <w:color w:val="333333"/>
          <w:sz w:val="20"/>
          <w:szCs w:val="20"/>
        </w:rPr>
        <w:t xml:space="preserve">Personal applications that pose security risks (file sharing, remote access tools) may be blocked by MDM policy</w:t>
      </w:r>
    </w:p>
    <w:p>
      <w:r>
        <w:br w:type="page"/>
      </w:r>
    </w:p>
    <w:p>
      <w:pPr>
        <w:pStyle w:val="Heading1"/>
        <w:spacing w:before="360" w:after="120"/>
      </w:pPr>
      <w:r>
        <w:rPr>
          <w:rFonts w:ascii="Arial" w:cs="Arial" w:eastAsia="Arial" w:hAnsi="Arial"/>
          <w:b/>
          <w:bCs/>
          <w:color w:val="1B3A5C"/>
          <w:sz w:val="28"/>
          <w:szCs w:val="28"/>
        </w:rPr>
        <w:t xml:space="preserve">6. Data Management and Classification *</w:t>
      </w:r>
    </w:p>
    <w:p>
      <w:pPr>
        <w:pStyle w:val="Heading2"/>
        <w:spacing w:before="240" w:after="100"/>
      </w:pPr>
      <w:r>
        <w:rPr>
          <w:rFonts w:ascii="Arial" w:cs="Arial" w:eastAsia="Arial" w:hAnsi="Arial"/>
          <w:b/>
          <w:bCs/>
          <w:color w:val="2E75B6"/>
          <w:sz w:val="24"/>
          <w:szCs w:val="24"/>
        </w:rPr>
        <w:t xml:space="preserve">6.1 Data Handling on Personal Devices</w:t>
      </w:r>
    </w:p>
    <w:p>
      <w:pPr>
        <w:spacing w:after="120"/>
      </w:pPr>
      <w:r>
        <w:rPr>
          <w:rFonts w:ascii="Arial" w:cs="Arial" w:eastAsia="Arial" w:hAnsi="Arial"/>
          <w:color w:val="333333"/>
          <w:sz w:val="20"/>
          <w:szCs w:val="20"/>
        </w:rPr>
        <w:t xml:space="preserve">Corporate data accessed or stored on personal devices must be handled according to the organization’s data classification policy:</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1800"/>
        <w:gridCol w:w="3780"/>
        <w:gridCol w:w="3780"/>
      </w:tblGrid>
      <w:tr>
        <w:tc>
          <w:tcPr>
            <w:tcW w:type="dxa" w:w="18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Classification</w:t>
            </w:r>
          </w:p>
        </w:tc>
        <w:tc>
          <w:tcPr>
            <w:tcW w:type="dxa" w:w="378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Description</w:t>
            </w:r>
          </w:p>
        </w:tc>
        <w:tc>
          <w:tcPr>
            <w:tcW w:type="dxa" w:w="378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BYOD Handling</w:t>
            </w:r>
          </w:p>
        </w:tc>
      </w:tr>
      <w:tr>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Restricted</w:t>
            </w:r>
          </w:p>
        </w:tc>
        <w:tc>
          <w:tcPr>
            <w:tcW w:type="dxa" w:w="37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PII, PHI, financial records, trade secrets, credentials</w:t>
            </w:r>
          </w:p>
        </w:tc>
        <w:tc>
          <w:tcPr>
            <w:tcW w:type="dxa" w:w="37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Prohibited on personal devices unless within an approved managed container; encryption and DLP required</w:t>
            </w:r>
          </w:p>
        </w:tc>
      </w:tr>
      <w:tr>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18"/>
                <w:szCs w:val="18"/>
              </w:rPr>
              <w:t xml:space="preserve">Confidential</w:t>
            </w:r>
          </w:p>
        </w:tc>
        <w:tc>
          <w:tcPr>
            <w:tcW w:type="dxa" w:w="37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Internal business data, strategic plans, financial reports, HR records</w:t>
            </w:r>
          </w:p>
        </w:tc>
        <w:tc>
          <w:tcPr>
            <w:tcW w:type="dxa" w:w="37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Permitted only within managed apps; no local storage outside container; remote wipe capability required</w:t>
            </w:r>
          </w:p>
        </w:tc>
      </w:tr>
      <w:tr>
        <w:tc>
          <w:tcPr>
            <w:tcW w:type="dxa" w:w="18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Internal</w:t>
            </w:r>
          </w:p>
        </w:tc>
        <w:tc>
          <w:tcPr>
            <w:tcW w:type="dxa" w:w="37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General business communications, procedures, non-sensitive project data</w:t>
            </w:r>
          </w:p>
        </w:tc>
        <w:tc>
          <w:tcPr>
            <w:tcW w:type="dxa" w:w="378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Permitted within approved apps; standard security controls apply</w:t>
            </w:r>
          </w:p>
        </w:tc>
      </w:tr>
      <w:tr>
        <w:tc>
          <w:tcPr>
            <w:tcW w:type="dxa" w:w="18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18"/>
                <w:szCs w:val="18"/>
              </w:rPr>
              <w:t xml:space="preserve">Public</w:t>
            </w:r>
          </w:p>
        </w:tc>
        <w:tc>
          <w:tcPr>
            <w:tcW w:type="dxa" w:w="37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Published materials, marketing content, public-facing information</w:t>
            </w:r>
          </w:p>
        </w:tc>
        <w:tc>
          <w:tcPr>
            <w:tcW w:type="dxa" w:w="378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No special restrictions beyond standard device security</w:t>
            </w:r>
          </w:p>
        </w:tc>
      </w:tr>
    </w:tbl>
    <w:p>
      <w:pPr>
        <w:pStyle w:val="Heading2"/>
        <w:spacing w:before="240" w:after="100"/>
      </w:pPr>
      <w:r>
        <w:rPr>
          <w:rFonts w:ascii="Arial" w:cs="Arial" w:eastAsia="Arial" w:hAnsi="Arial"/>
          <w:b/>
          <w:bCs/>
          <w:color w:val="2E75B6"/>
          <w:sz w:val="24"/>
          <w:szCs w:val="24"/>
        </w:rPr>
        <w:t xml:space="preserve">6.2 Data Loss Prevention</w:t>
      </w:r>
    </w:p>
    <w:p>
      <w:pPr>
        <w:spacing w:after="120"/>
      </w:pPr>
      <w:r>
        <w:rPr>
          <w:rFonts w:ascii="Arial" w:cs="Arial" w:eastAsia="Arial" w:hAnsi="Arial"/>
          <w:color w:val="333333"/>
          <w:sz w:val="20"/>
          <w:szCs w:val="20"/>
        </w:rPr>
        <w:t xml:space="preserve">The organization may deploy Data Loss Prevention (DLP) controls on enrolled devices, including:</w:t>
      </w:r>
    </w:p>
    <w:p>
      <w:pPr>
        <w:pStyle w:val="ListParagraph"/>
        <w:numPr>
          <w:ilvl w:val="0"/>
          <w:numId w:val="2"/>
        </w:numPr>
        <w:spacing w:after="60"/>
      </w:pPr>
      <w:r>
        <w:rPr>
          <w:rFonts w:ascii="Arial" w:cs="Arial" w:eastAsia="Arial" w:hAnsi="Arial"/>
          <w:color w:val="333333"/>
          <w:sz w:val="20"/>
          <w:szCs w:val="20"/>
        </w:rPr>
        <w:t xml:space="preserve">Restricting copy/paste of corporate data to personal applications</w:t>
      </w:r>
    </w:p>
    <w:p>
      <w:pPr>
        <w:pStyle w:val="ListParagraph"/>
        <w:numPr>
          <w:ilvl w:val="0"/>
          <w:numId w:val="2"/>
        </w:numPr>
        <w:spacing w:after="60"/>
      </w:pPr>
      <w:r>
        <w:rPr>
          <w:rFonts w:ascii="Arial" w:cs="Arial" w:eastAsia="Arial" w:hAnsi="Arial"/>
          <w:color w:val="333333"/>
          <w:sz w:val="20"/>
          <w:szCs w:val="20"/>
        </w:rPr>
        <w:t xml:space="preserve">Preventing download or export of sensitive files to local storage</w:t>
      </w:r>
    </w:p>
    <w:p>
      <w:pPr>
        <w:pStyle w:val="ListParagraph"/>
        <w:numPr>
          <w:ilvl w:val="0"/>
          <w:numId w:val="2"/>
        </w:numPr>
        <w:spacing w:after="60"/>
      </w:pPr>
      <w:r>
        <w:rPr>
          <w:rFonts w:ascii="Arial" w:cs="Arial" w:eastAsia="Arial" w:hAnsi="Arial"/>
          <w:color w:val="333333"/>
          <w:sz w:val="20"/>
          <w:szCs w:val="20"/>
        </w:rPr>
        <w:t xml:space="preserve">Monitoring and blocking unauthorized data transfers</w:t>
      </w:r>
    </w:p>
    <w:p>
      <w:pPr>
        <w:pStyle w:val="ListParagraph"/>
        <w:numPr>
          <w:ilvl w:val="0"/>
          <w:numId w:val="2"/>
        </w:numPr>
        <w:spacing w:after="60"/>
      </w:pPr>
      <w:r>
        <w:rPr>
          <w:rFonts w:ascii="Arial" w:cs="Arial" w:eastAsia="Arial" w:hAnsi="Arial"/>
          <w:color w:val="333333"/>
          <w:sz w:val="20"/>
          <w:szCs w:val="20"/>
        </w:rPr>
        <w:t xml:space="preserve">Watermarking sensitive documents opened on personal devices</w:t>
      </w:r>
    </w:p>
    <w:p>
      <w:pPr>
        <w:pStyle w:val="Heading2"/>
        <w:spacing w:before="240" w:after="100"/>
      </w:pPr>
      <w:r>
        <w:rPr>
          <w:rFonts w:ascii="Arial" w:cs="Arial" w:eastAsia="Arial" w:hAnsi="Arial"/>
          <w:b/>
          <w:bCs/>
          <w:color w:val="2E75B6"/>
          <w:sz w:val="24"/>
          <w:szCs w:val="24"/>
        </w:rPr>
        <w:t xml:space="preserve">6.3 Backup and Data Retention</w:t>
      </w:r>
    </w:p>
    <w:p>
      <w:pPr>
        <w:pStyle w:val="ListParagraph"/>
        <w:numPr>
          <w:ilvl w:val="0"/>
          <w:numId w:val="2"/>
        </w:numPr>
        <w:spacing w:after="60"/>
      </w:pPr>
      <w:r>
        <w:rPr>
          <w:rFonts w:ascii="Arial" w:cs="Arial" w:eastAsia="Arial" w:hAnsi="Arial"/>
          <w:color w:val="333333"/>
          <w:sz w:val="20"/>
          <w:szCs w:val="20"/>
        </w:rPr>
        <w:t xml:space="preserve">Corporate data on personal devices is subject to organizational retention policies</w:t>
      </w:r>
    </w:p>
    <w:p>
      <w:pPr>
        <w:pStyle w:val="ListParagraph"/>
        <w:numPr>
          <w:ilvl w:val="0"/>
          <w:numId w:val="2"/>
        </w:numPr>
        <w:spacing w:after="60"/>
      </w:pPr>
      <w:r>
        <w:rPr>
          <w:rFonts w:ascii="Arial" w:cs="Arial" w:eastAsia="Arial" w:hAnsi="Arial"/>
          <w:color w:val="333333"/>
          <w:sz w:val="20"/>
          <w:szCs w:val="20"/>
        </w:rPr>
        <w:t xml:space="preserve">Employees must not rely on personal device backups for corporate data</w:t>
      </w:r>
    </w:p>
    <w:p>
      <w:pPr>
        <w:pStyle w:val="ListParagraph"/>
        <w:numPr>
          <w:ilvl w:val="0"/>
          <w:numId w:val="2"/>
        </w:numPr>
        <w:spacing w:after="60"/>
      </w:pPr>
      <w:r>
        <w:rPr>
          <w:rFonts w:ascii="Arial" w:cs="Arial" w:eastAsia="Arial" w:hAnsi="Arial"/>
          <w:color w:val="333333"/>
          <w:sz w:val="20"/>
          <w:szCs w:val="20"/>
        </w:rPr>
        <w:t xml:space="preserve">Corporate data must be stored in approved cloud platforms where organizational backup policies apply</w:t>
      </w:r>
    </w:p>
    <w:p>
      <w:pPr>
        <w:pStyle w:val="ListParagraph"/>
        <w:numPr>
          <w:ilvl w:val="0"/>
          <w:numId w:val="2"/>
        </w:numPr>
        <w:spacing w:after="60"/>
      </w:pPr>
      <w:r>
        <w:rPr>
          <w:rFonts w:ascii="Arial" w:cs="Arial" w:eastAsia="Arial" w:hAnsi="Arial"/>
          <w:color w:val="333333"/>
          <w:sz w:val="20"/>
          <w:szCs w:val="20"/>
        </w:rPr>
        <w:t xml:space="preserve">Personal backups (iCloud, Google Backup) may inadvertently capture corporate data; employees are responsible for managing this risk</w:t>
      </w:r>
    </w:p>
    <w:p>
      <w:r>
        <w:br w:type="page"/>
      </w:r>
    </w:p>
    <w:p>
      <w:pPr>
        <w:pStyle w:val="Heading1"/>
        <w:spacing w:before="360" w:after="120"/>
      </w:pPr>
      <w:r>
        <w:rPr>
          <w:rFonts w:ascii="Arial" w:cs="Arial" w:eastAsia="Arial" w:hAnsi="Arial"/>
          <w:b/>
          <w:bCs/>
          <w:color w:val="1B3A5C"/>
          <w:sz w:val="28"/>
          <w:szCs w:val="28"/>
        </w:rPr>
        <w:t xml:space="preserve">7. Privacy *</w:t>
      </w:r>
    </w:p>
    <w:p>
      <w:pPr>
        <w:pStyle w:val="Heading2"/>
        <w:spacing w:before="240" w:after="100"/>
      </w:pPr>
      <w:r>
        <w:rPr>
          <w:rFonts w:ascii="Arial" w:cs="Arial" w:eastAsia="Arial" w:hAnsi="Arial"/>
          <w:b/>
          <w:bCs/>
          <w:color w:val="2E75B6"/>
          <w:sz w:val="24"/>
          <w:szCs w:val="24"/>
        </w:rPr>
        <w:t xml:space="preserve">7.1 Employee Privacy Expectations</w:t>
      </w:r>
    </w:p>
    <w:p>
      <w:pPr>
        <w:spacing w:after="120"/>
      </w:pPr>
      <w:r>
        <w:rPr>
          <w:rFonts w:ascii="Arial" w:cs="Arial" w:eastAsia="Arial" w:hAnsi="Arial"/>
          <w:color w:val="333333"/>
          <w:sz w:val="20"/>
          <w:szCs w:val="20"/>
        </w:rPr>
        <w:t xml:space="preserve">[Organization Name] respects employee privacy and limits its access to personal devices to the minimum necessary to protect corporate data. The organization’s MDM solution is configured to:</w:t>
      </w:r>
    </w:p>
    <w:p>
      <w:pPr>
        <w:spacing w:after="120"/>
      </w:pPr>
      <w:r>
        <w:rPr>
          <w:rFonts w:ascii="Arial" w:cs="Arial" w:eastAsia="Arial" w:hAnsi="Arial"/>
          <w:b/>
          <w:bCs/>
          <w:color w:val="333333"/>
          <w:sz w:val="20"/>
          <w:szCs w:val="20"/>
        </w:rPr>
        <w:t xml:space="preserve">What the organization </w:t>
      </w:r>
      <w:r>
        <w:rPr>
          <w:rFonts w:ascii="Arial" w:cs="Arial" w:eastAsia="Arial" w:hAnsi="Arial"/>
          <w:b/>
          <w:bCs/>
          <w:color w:val="2E7D32"/>
          <w:sz w:val="20"/>
          <w:szCs w:val="20"/>
        </w:rPr>
        <w:t xml:space="preserve">CAN</w:t>
      </w:r>
      <w:r>
        <w:rPr>
          <w:rFonts w:ascii="Arial" w:cs="Arial" w:eastAsia="Arial" w:hAnsi="Arial"/>
          <w:b/>
          <w:bCs/>
          <w:color w:val="333333"/>
          <w:sz w:val="20"/>
          <w:szCs w:val="20"/>
        </w:rPr>
        <w:t xml:space="preserve"> see and do:</w:t>
      </w:r>
    </w:p>
    <w:p>
      <w:pPr>
        <w:pStyle w:val="ListParagraph"/>
        <w:numPr>
          <w:ilvl w:val="0"/>
          <w:numId w:val="2"/>
        </w:numPr>
        <w:spacing w:after="60"/>
      </w:pPr>
      <w:r>
        <w:rPr>
          <w:rFonts w:ascii="Arial" w:cs="Arial" w:eastAsia="Arial" w:hAnsi="Arial"/>
          <w:color w:val="333333"/>
          <w:sz w:val="20"/>
          <w:szCs w:val="20"/>
        </w:rPr>
        <w:t xml:space="preserve">Enforce security policies (passcode, encryption, OS version)</w:t>
      </w:r>
    </w:p>
    <w:p>
      <w:pPr>
        <w:pStyle w:val="ListParagraph"/>
        <w:numPr>
          <w:ilvl w:val="0"/>
          <w:numId w:val="2"/>
        </w:numPr>
        <w:spacing w:after="60"/>
      </w:pPr>
      <w:r>
        <w:rPr>
          <w:rFonts w:ascii="Arial" w:cs="Arial" w:eastAsia="Arial" w:hAnsi="Arial"/>
          <w:color w:val="333333"/>
          <w:sz w:val="20"/>
          <w:szCs w:val="20"/>
        </w:rPr>
        <w:t xml:space="preserve">Remotely wipe or remove corporate data and applications (corporate container only)</w:t>
      </w:r>
    </w:p>
    <w:p>
      <w:pPr>
        <w:pStyle w:val="ListParagraph"/>
        <w:numPr>
          <w:ilvl w:val="0"/>
          <w:numId w:val="2"/>
        </w:numPr>
        <w:spacing w:after="60"/>
      </w:pPr>
      <w:r>
        <w:rPr>
          <w:rFonts w:ascii="Arial" w:cs="Arial" w:eastAsia="Arial" w:hAnsi="Arial"/>
          <w:color w:val="333333"/>
          <w:sz w:val="20"/>
          <w:szCs w:val="20"/>
        </w:rPr>
        <w:t xml:space="preserve">View device type, OS version, and compliance status</w:t>
      </w:r>
    </w:p>
    <w:p>
      <w:pPr>
        <w:pStyle w:val="ListParagraph"/>
        <w:numPr>
          <w:ilvl w:val="0"/>
          <w:numId w:val="2"/>
        </w:numPr>
        <w:spacing w:after="60"/>
      </w:pPr>
      <w:r>
        <w:rPr>
          <w:rFonts w:ascii="Arial" w:cs="Arial" w:eastAsia="Arial" w:hAnsi="Arial"/>
          <w:color w:val="333333"/>
          <w:sz w:val="20"/>
          <w:szCs w:val="20"/>
        </w:rPr>
        <w:t xml:space="preserve">Manage and distribute corporate applications</w:t>
      </w:r>
    </w:p>
    <w:p>
      <w:pPr>
        <w:pStyle w:val="ListParagraph"/>
        <w:numPr>
          <w:ilvl w:val="0"/>
          <w:numId w:val="2"/>
        </w:numPr>
        <w:spacing w:after="60"/>
      </w:pPr>
      <w:r>
        <w:rPr>
          <w:rFonts w:ascii="Arial" w:cs="Arial" w:eastAsia="Arial" w:hAnsi="Arial"/>
          <w:color w:val="333333"/>
          <w:sz w:val="20"/>
          <w:szCs w:val="20"/>
        </w:rPr>
        <w:t xml:space="preserve">Detect jailbroken or rooted devices</w:t>
      </w:r>
    </w:p>
    <w:p>
      <w:pPr>
        <w:pStyle w:val="ListParagraph"/>
        <w:numPr>
          <w:ilvl w:val="0"/>
          <w:numId w:val="2"/>
        </w:numPr>
        <w:spacing w:after="60"/>
      </w:pPr>
      <w:r>
        <w:rPr>
          <w:rFonts w:ascii="Arial" w:cs="Arial" w:eastAsia="Arial" w:hAnsi="Arial"/>
          <w:color w:val="333333"/>
          <w:sz w:val="20"/>
          <w:szCs w:val="20"/>
        </w:rPr>
        <w:t xml:space="preserve">View installed corporate-managed applications</w:t>
      </w:r>
    </w:p>
    <w:p>
      <w:pPr>
        <w:spacing w:after="120"/>
      </w:pPr>
      <w:r>
        <w:rPr>
          <w:rFonts w:ascii="Arial" w:cs="Arial" w:eastAsia="Arial" w:hAnsi="Arial"/>
          <w:b/>
          <w:bCs/>
          <w:color w:val="333333"/>
          <w:sz w:val="20"/>
          <w:szCs w:val="20"/>
        </w:rPr>
        <w:t xml:space="preserve">What the organization </w:t>
      </w:r>
      <w:r>
        <w:rPr>
          <w:rFonts w:ascii="Arial" w:cs="Arial" w:eastAsia="Arial" w:hAnsi="Arial"/>
          <w:b/>
          <w:bCs/>
          <w:color w:val="C62828"/>
          <w:sz w:val="20"/>
          <w:szCs w:val="20"/>
        </w:rPr>
        <w:t xml:space="preserve">CANNOT</w:t>
      </w:r>
      <w:r>
        <w:rPr>
          <w:rFonts w:ascii="Arial" w:cs="Arial" w:eastAsia="Arial" w:hAnsi="Arial"/>
          <w:b/>
          <w:bCs/>
          <w:color w:val="333333"/>
          <w:sz w:val="20"/>
          <w:szCs w:val="20"/>
        </w:rPr>
        <w:t xml:space="preserve"> see or do:</w:t>
      </w:r>
    </w:p>
    <w:p>
      <w:pPr>
        <w:pStyle w:val="ListParagraph"/>
        <w:numPr>
          <w:ilvl w:val="0"/>
          <w:numId w:val="2"/>
        </w:numPr>
        <w:spacing w:after="60"/>
      </w:pPr>
      <w:r>
        <w:rPr>
          <w:rFonts w:ascii="Arial" w:cs="Arial" w:eastAsia="Arial" w:hAnsi="Arial"/>
          <w:color w:val="333333"/>
          <w:sz w:val="20"/>
          <w:szCs w:val="20"/>
        </w:rPr>
        <w:t xml:space="preserve">Read personal emails, text messages, or personal communications</w:t>
      </w:r>
    </w:p>
    <w:p>
      <w:pPr>
        <w:pStyle w:val="ListParagraph"/>
        <w:numPr>
          <w:ilvl w:val="0"/>
          <w:numId w:val="2"/>
        </w:numPr>
        <w:spacing w:after="60"/>
      </w:pPr>
      <w:r>
        <w:rPr>
          <w:rFonts w:ascii="Arial" w:cs="Arial" w:eastAsia="Arial" w:hAnsi="Arial"/>
          <w:color w:val="333333"/>
          <w:sz w:val="20"/>
          <w:szCs w:val="20"/>
        </w:rPr>
        <w:t xml:space="preserve">Access personal photos, videos, or files</w:t>
      </w:r>
    </w:p>
    <w:p>
      <w:pPr>
        <w:pStyle w:val="ListParagraph"/>
        <w:numPr>
          <w:ilvl w:val="0"/>
          <w:numId w:val="2"/>
        </w:numPr>
        <w:spacing w:after="60"/>
      </w:pPr>
      <w:r>
        <w:rPr>
          <w:rFonts w:ascii="Arial" w:cs="Arial" w:eastAsia="Arial" w:hAnsi="Arial"/>
          <w:color w:val="333333"/>
          <w:sz w:val="20"/>
          <w:szCs w:val="20"/>
        </w:rPr>
        <w:t xml:space="preserve">View personal browsing history</w:t>
      </w:r>
    </w:p>
    <w:p>
      <w:pPr>
        <w:pStyle w:val="ListParagraph"/>
        <w:numPr>
          <w:ilvl w:val="0"/>
          <w:numId w:val="2"/>
        </w:numPr>
        <w:spacing w:after="60"/>
      </w:pPr>
      <w:r>
        <w:rPr>
          <w:rFonts w:ascii="Arial" w:cs="Arial" w:eastAsia="Arial" w:hAnsi="Arial"/>
          <w:color w:val="333333"/>
          <w:sz w:val="20"/>
          <w:szCs w:val="20"/>
        </w:rPr>
        <w:t xml:space="preserve">Track personal location (unless the device is reported lost or stolen)</w:t>
      </w:r>
    </w:p>
    <w:p>
      <w:pPr>
        <w:pStyle w:val="ListParagraph"/>
        <w:numPr>
          <w:ilvl w:val="0"/>
          <w:numId w:val="2"/>
        </w:numPr>
        <w:spacing w:after="60"/>
      </w:pPr>
      <w:r>
        <w:rPr>
          <w:rFonts w:ascii="Arial" w:cs="Arial" w:eastAsia="Arial" w:hAnsi="Arial"/>
          <w:color w:val="333333"/>
          <w:sz w:val="20"/>
          <w:szCs w:val="20"/>
        </w:rPr>
        <w:t xml:space="preserve">View personal applications or app usage data</w:t>
      </w:r>
    </w:p>
    <w:p>
      <w:pPr>
        <w:pStyle w:val="ListParagraph"/>
        <w:numPr>
          <w:ilvl w:val="0"/>
          <w:numId w:val="2"/>
        </w:numPr>
        <w:spacing w:after="60"/>
      </w:pPr>
      <w:r>
        <w:rPr>
          <w:rFonts w:ascii="Arial" w:cs="Arial" w:eastAsia="Arial" w:hAnsi="Arial"/>
          <w:color w:val="333333"/>
          <w:sz w:val="20"/>
          <w:szCs w:val="20"/>
        </w:rPr>
        <w:t xml:space="preserve">Remotely wipe personal data (corporate container wipe only, except in extreme security incidents)</w:t>
      </w:r>
    </w:p>
    <w:p>
      <w:pPr>
        <w:pStyle w:val="Heading2"/>
        <w:spacing w:before="240" w:after="100"/>
      </w:pPr>
      <w:r>
        <w:rPr>
          <w:rFonts w:ascii="Arial" w:cs="Arial" w:eastAsia="Arial" w:hAnsi="Arial"/>
          <w:b/>
          <w:bCs/>
          <w:color w:val="2E75B6"/>
          <w:sz w:val="24"/>
          <w:szCs w:val="24"/>
        </w:rPr>
        <w:t xml:space="preserve">7.2 Exceptions to Privacy Limitations</w:t>
      </w:r>
    </w:p>
    <w:p>
      <w:pPr>
        <w:spacing w:after="120"/>
      </w:pPr>
      <w:r>
        <w:rPr>
          <w:rFonts w:ascii="Arial" w:cs="Arial" w:eastAsia="Arial" w:hAnsi="Arial"/>
          <w:color w:val="333333"/>
          <w:sz w:val="20"/>
          <w:szCs w:val="20"/>
        </w:rPr>
        <w:t xml:space="preserve">In the following circumstances, the organization may need to take broader action on a personal device:</w:t>
      </w:r>
    </w:p>
    <w:p>
      <w:pPr>
        <w:pStyle w:val="ListParagraph"/>
        <w:numPr>
          <w:ilvl w:val="0"/>
          <w:numId w:val="2"/>
        </w:numPr>
        <w:spacing w:after="60"/>
      </w:pPr>
      <w:r>
        <w:rPr>
          <w:rFonts w:ascii="Arial" w:cs="Arial" w:eastAsia="Arial" w:hAnsi="Arial"/>
          <w:color w:val="333333"/>
          <w:sz w:val="20"/>
          <w:szCs w:val="20"/>
        </w:rPr>
        <w:t xml:space="preserve">The device is reported lost or stolen and contains corporate data</w:t>
      </w:r>
    </w:p>
    <w:p>
      <w:pPr>
        <w:pStyle w:val="ListParagraph"/>
        <w:numPr>
          <w:ilvl w:val="0"/>
          <w:numId w:val="2"/>
        </w:numPr>
        <w:spacing w:after="60"/>
      </w:pPr>
      <w:r>
        <w:rPr>
          <w:rFonts w:ascii="Arial" w:cs="Arial" w:eastAsia="Arial" w:hAnsi="Arial"/>
          <w:color w:val="333333"/>
          <w:sz w:val="20"/>
          <w:szCs w:val="20"/>
        </w:rPr>
        <w:t xml:space="preserve">A cybersecurity incident requires forensic investigation of the device</w:t>
      </w:r>
    </w:p>
    <w:p>
      <w:pPr>
        <w:pStyle w:val="ListParagraph"/>
        <w:numPr>
          <w:ilvl w:val="0"/>
          <w:numId w:val="2"/>
        </w:numPr>
        <w:spacing w:after="60"/>
      </w:pPr>
      <w:r>
        <w:rPr>
          <w:rFonts w:ascii="Arial" w:cs="Arial" w:eastAsia="Arial" w:hAnsi="Arial"/>
          <w:color w:val="333333"/>
          <w:sz w:val="20"/>
          <w:szCs w:val="20"/>
        </w:rPr>
        <w:t xml:space="preserve">Legal hold or e-discovery obligations require preservation of corporate data</w:t>
      </w:r>
    </w:p>
    <w:p>
      <w:pPr>
        <w:pStyle w:val="ListParagraph"/>
        <w:numPr>
          <w:ilvl w:val="0"/>
          <w:numId w:val="2"/>
        </w:numPr>
        <w:spacing w:after="60"/>
      </w:pPr>
      <w:r>
        <w:rPr>
          <w:rFonts w:ascii="Arial" w:cs="Arial" w:eastAsia="Arial" w:hAnsi="Arial"/>
          <w:color w:val="333333"/>
          <w:sz w:val="20"/>
          <w:szCs w:val="20"/>
        </w:rPr>
        <w:t xml:space="preserve">The employee fails to cooperate with de-enrollment upon separation</w:t>
      </w:r>
    </w:p>
    <w:p>
      <w:pPr>
        <w:spacing w:after="120"/>
      </w:pPr>
      <w:r>
        <w:rPr>
          <w:rFonts w:ascii="Arial" w:cs="Arial" w:eastAsia="Arial" w:hAnsi="Arial"/>
          <w:color w:val="333333"/>
          <w:sz w:val="20"/>
          <w:szCs w:val="20"/>
        </w:rPr>
        <w:t xml:space="preserve">In all cases, the organization will provide notice to the employee and limit actions to the minimum necessary. Broader device wipes require approval from [Legal Counsel / CISO / HR Director].</w:t>
      </w:r>
    </w:p>
    <w:p>
      <w:r>
        <w:br w:type="page"/>
      </w:r>
    </w:p>
    <w:p>
      <w:pPr>
        <w:pStyle w:val="Heading1"/>
        <w:spacing w:before="360" w:after="120"/>
      </w:pPr>
      <w:r>
        <w:rPr>
          <w:rFonts w:ascii="Arial" w:cs="Arial" w:eastAsia="Arial" w:hAnsi="Arial"/>
          <w:b/>
          <w:bCs/>
          <w:color w:val="1B3A5C"/>
          <w:sz w:val="28"/>
          <w:szCs w:val="28"/>
        </w:rPr>
        <w:t xml:space="preserve">8. Lost, Stolen, or Compromised Devices *</w:t>
      </w:r>
    </w:p>
    <w:p>
      <w:pPr>
        <w:pStyle w:val="Heading2"/>
        <w:spacing w:before="240" w:after="100"/>
      </w:pPr>
      <w:r>
        <w:rPr>
          <w:rFonts w:ascii="Arial" w:cs="Arial" w:eastAsia="Arial" w:hAnsi="Arial"/>
          <w:b/>
          <w:bCs/>
          <w:color w:val="2E75B6"/>
          <w:sz w:val="24"/>
          <w:szCs w:val="24"/>
        </w:rPr>
        <w:t xml:space="preserve">8.1 Reporting Requirements</w:t>
      </w:r>
    </w:p>
    <w:p>
      <w:pPr>
        <w:spacing w:after="120"/>
      </w:pPr>
      <w:r>
        <w:rPr>
          <w:rFonts w:ascii="Arial" w:cs="Arial" w:eastAsia="Arial" w:hAnsi="Arial"/>
          <w:color w:val="333333"/>
          <w:sz w:val="20"/>
          <w:szCs w:val="20"/>
        </w:rPr>
        <w:t xml:space="preserve">Employees must immediately report a lost, stolen, or potentially compromised device to IT and their manager. Immediate reporting is critical to protect corporate data and comply with cyber insurance requirements.</w:t>
      </w:r>
    </w:p>
    <w:p>
      <w:pPr>
        <w:spacing w:after="120"/>
      </w:pPr>
      <w:r>
        <w:rPr>
          <w:rFonts w:ascii="Arial" w:cs="Arial" w:eastAsia="Arial" w:hAnsi="Arial"/>
          <w:b/>
          <w:bCs/>
          <w:color w:val="333333"/>
          <w:sz w:val="20"/>
          <w:szCs w:val="20"/>
        </w:rPr>
        <w:t xml:space="preserve">Report to: </w:t>
      </w:r>
      <w:r>
        <w:rPr>
          <w:rFonts w:ascii="Arial" w:cs="Arial" w:eastAsia="Arial" w:hAnsi="Arial"/>
          <w:color w:val="333333"/>
          <w:sz w:val="20"/>
          <w:szCs w:val="20"/>
        </w:rPr>
        <w:t xml:space="preserve">[IT Help Desk / Security Team Contact Information]</w:t>
      </w:r>
    </w:p>
    <w:p>
      <w:pPr>
        <w:spacing w:after="120"/>
      </w:pPr>
      <w:r>
        <w:rPr>
          <w:rFonts w:ascii="Arial" w:cs="Arial" w:eastAsia="Arial" w:hAnsi="Arial"/>
          <w:b/>
          <w:bCs/>
          <w:color w:val="333333"/>
          <w:sz w:val="20"/>
          <w:szCs w:val="20"/>
        </w:rPr>
        <w:t xml:space="preserve">Timeframe: </w:t>
      </w:r>
      <w:r>
        <w:rPr>
          <w:rFonts w:ascii="Arial" w:cs="Arial" w:eastAsia="Arial" w:hAnsi="Arial"/>
          <w:color w:val="333333"/>
          <w:sz w:val="20"/>
          <w:szCs w:val="20"/>
        </w:rPr>
        <w:t xml:space="preserve">Within 1 hour of discovery or as soon as reasonably possible</w:t>
      </w:r>
    </w:p>
    <w:p>
      <w:pPr>
        <w:spacing w:after="40"/>
      </w:pPr>
    </w:p>
    <w:p>
      <w:pPr>
        <w:pStyle w:val="Heading2"/>
        <w:spacing w:before="240" w:after="100"/>
      </w:pPr>
      <w:r>
        <w:rPr>
          <w:rFonts w:ascii="Arial" w:cs="Arial" w:eastAsia="Arial" w:hAnsi="Arial"/>
          <w:b/>
          <w:bCs/>
          <w:color w:val="2E75B6"/>
          <w:sz w:val="24"/>
          <w:szCs w:val="24"/>
        </w:rPr>
        <w:t xml:space="preserve">8.2 Response Procedures</w:t>
      </w:r>
    </w:p>
    <w:p>
      <w:pPr>
        <w:spacing w:after="120"/>
      </w:pPr>
      <w:r>
        <w:rPr>
          <w:rFonts w:ascii="Arial" w:cs="Arial" w:eastAsia="Arial" w:hAnsi="Arial"/>
          <w:color w:val="333333"/>
          <w:sz w:val="20"/>
          <w:szCs w:val="20"/>
        </w:rPr>
        <w:t xml:space="preserve">Upon notification that a BYOD device has been lost, stolen, or compromised:</w:t>
      </w:r>
    </w:p>
    <w:p>
      <w:pPr>
        <w:pStyle w:val="ListParagraph"/>
        <w:numPr>
          <w:ilvl w:val="0"/>
          <w:numId w:val="5"/>
        </w:numPr>
        <w:spacing w:after="60"/>
      </w:pPr>
      <w:r>
        <w:rPr>
          <w:rFonts w:ascii="Arial" w:cs="Arial" w:eastAsia="Arial" w:hAnsi="Arial"/>
          <w:color w:val="333333"/>
          <w:sz w:val="20"/>
          <w:szCs w:val="20"/>
        </w:rPr>
        <w:t xml:space="preserve">IT will immediately revoke the device’s access to corporate systems and VPN</w:t>
      </w:r>
    </w:p>
    <w:p>
      <w:pPr>
        <w:pStyle w:val="ListParagraph"/>
        <w:numPr>
          <w:ilvl w:val="0"/>
          <w:numId w:val="5"/>
        </w:numPr>
        <w:spacing w:after="60"/>
      </w:pPr>
      <w:r>
        <w:rPr>
          <w:rFonts w:ascii="Arial" w:cs="Arial" w:eastAsia="Arial" w:hAnsi="Arial"/>
          <w:color w:val="333333"/>
          <w:sz w:val="20"/>
          <w:szCs w:val="20"/>
        </w:rPr>
        <w:t xml:space="preserve">IT will initiate a remote wipe of the corporate container (managed apps and data)</w:t>
      </w:r>
    </w:p>
    <w:p>
      <w:pPr>
        <w:pStyle w:val="ListParagraph"/>
        <w:numPr>
          <w:ilvl w:val="0"/>
          <w:numId w:val="5"/>
        </w:numPr>
        <w:spacing w:after="60"/>
      </w:pPr>
      <w:r>
        <w:rPr>
          <w:rFonts w:ascii="Arial" w:cs="Arial" w:eastAsia="Arial" w:hAnsi="Arial"/>
          <w:color w:val="333333"/>
          <w:sz w:val="20"/>
          <w:szCs w:val="20"/>
        </w:rPr>
        <w:t xml:space="preserve">If corporate data cannot be adequately contained, a full device wipe may be executed with prior notice to the employee</w:t>
      </w:r>
    </w:p>
    <w:p>
      <w:pPr>
        <w:pStyle w:val="ListParagraph"/>
        <w:numPr>
          <w:ilvl w:val="0"/>
          <w:numId w:val="5"/>
        </w:numPr>
        <w:spacing w:after="60"/>
      </w:pPr>
      <w:r>
        <w:rPr>
          <w:rFonts w:ascii="Arial" w:cs="Arial" w:eastAsia="Arial" w:hAnsi="Arial"/>
          <w:color w:val="333333"/>
          <w:sz w:val="20"/>
          <w:szCs w:val="20"/>
        </w:rPr>
        <w:t xml:space="preserve">The incident will be logged and assessed for data breach notification requirements</w:t>
      </w:r>
    </w:p>
    <w:p>
      <w:pPr>
        <w:pStyle w:val="ListParagraph"/>
        <w:numPr>
          <w:ilvl w:val="0"/>
          <w:numId w:val="5"/>
        </w:numPr>
        <w:spacing w:after="60"/>
      </w:pPr>
      <w:r>
        <w:rPr>
          <w:rFonts w:ascii="Arial" w:cs="Arial" w:eastAsia="Arial" w:hAnsi="Arial"/>
          <w:color w:val="333333"/>
          <w:sz w:val="20"/>
          <w:szCs w:val="20"/>
        </w:rPr>
        <w:t xml:space="preserve">If sensitive data (PII, PHI, financial) was accessible, the Incident Response Plan will be activated</w:t>
      </w:r>
    </w:p>
    <w:p>
      <w:pPr>
        <w:pStyle w:val="ListParagraph"/>
        <w:numPr>
          <w:ilvl w:val="0"/>
          <w:numId w:val="5"/>
        </w:numPr>
        <w:spacing w:after="60"/>
      </w:pPr>
      <w:r>
        <w:rPr>
          <w:rFonts w:ascii="Arial" w:cs="Arial" w:eastAsia="Arial" w:hAnsi="Arial"/>
          <w:color w:val="333333"/>
          <w:sz w:val="20"/>
          <w:szCs w:val="20"/>
        </w:rPr>
        <w:t xml:space="preserve">Law enforcement will be contacted if theft is suspected</w:t>
      </w:r>
    </w:p>
    <w:p>
      <w:pPr>
        <w:pStyle w:val="ListParagraph"/>
        <w:numPr>
          <w:ilvl w:val="0"/>
          <w:numId w:val="5"/>
        </w:numPr>
        <w:spacing w:after="60"/>
      </w:pPr>
      <w:r>
        <w:rPr>
          <w:rFonts w:ascii="Arial" w:cs="Arial" w:eastAsia="Arial" w:hAnsi="Arial"/>
          <w:color w:val="333333"/>
          <w:sz w:val="20"/>
          <w:szCs w:val="20"/>
        </w:rPr>
        <w:t xml:space="preserve">The employee will be guided through de-enrollment and re-enrollment on a replacement device</w:t>
      </w:r>
    </w:p>
    <w:p>
      <w:pPr>
        <w:pStyle w:val="Heading2"/>
        <w:spacing w:before="240" w:after="100"/>
      </w:pPr>
      <w:r>
        <w:rPr>
          <w:rFonts w:ascii="Arial" w:cs="Arial" w:eastAsia="Arial" w:hAnsi="Arial"/>
          <w:b/>
          <w:bCs/>
          <w:color w:val="2E75B6"/>
          <w:sz w:val="24"/>
          <w:szCs w:val="24"/>
        </w:rPr>
        <w:t xml:space="preserve">8.3 Security Incident Escalation</w:t>
      </w:r>
    </w:p>
    <w:p>
      <w:pPr>
        <w:spacing w:after="120"/>
      </w:pPr>
      <w:r>
        <w:rPr>
          <w:rFonts w:ascii="Arial" w:cs="Arial" w:eastAsia="Arial" w:hAnsi="Arial"/>
          <w:color w:val="333333"/>
          <w:sz w:val="20"/>
          <w:szCs w:val="20"/>
        </w:rPr>
        <w:t xml:space="preserve">If a lost or stolen device may have contained or had access to sensitive data, the following escalation path applies:</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200"/>
        <w:gridCol w:w="2500"/>
        <w:gridCol w:w="2200"/>
        <w:gridCol w:w="2460"/>
      </w:tblGrid>
      <w:tr>
        <w:tc>
          <w:tcPr>
            <w:tcW w:type="dxa" w:w="2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Scenario</w:t>
            </w:r>
          </w:p>
        </w:tc>
        <w:tc>
          <w:tcPr>
            <w:tcW w:type="dxa" w:w="25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Action</w:t>
            </w:r>
          </w:p>
        </w:tc>
        <w:tc>
          <w:tcPr>
            <w:tcW w:type="dxa" w:w="220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Responsible</w:t>
            </w:r>
          </w:p>
        </w:tc>
        <w:tc>
          <w:tcPr>
            <w:tcW w:type="dxa" w:w="246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Timeline</w:t>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Device with email access only</w:t>
            </w:r>
          </w:p>
        </w:tc>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Remote wipe corporate container; monitor for unauthorized access</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IT Team</w:t>
            </w:r>
          </w:p>
        </w:tc>
        <w:tc>
          <w:tcPr>
            <w:tcW w:type="dxa" w:w="24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Within 1 hour</w:t>
            </w:r>
          </w:p>
        </w:tc>
      </w:tr>
      <w:tr>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bCs/>
                <w:color w:val="333333"/>
                <w:sz w:val="18"/>
                <w:szCs w:val="18"/>
              </w:rPr>
              <w:t xml:space="preserve">Device with sensitive data access</w:t>
            </w:r>
          </w:p>
        </w:tc>
        <w:tc>
          <w:tcPr>
            <w:tcW w:type="dxa" w:w="25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Corporate wipe; activate Incident Response Plan; notify insurance broker</w:t>
            </w:r>
          </w:p>
        </w:tc>
        <w:tc>
          <w:tcPr>
            <w:tcW w:type="dxa" w:w="220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IT Lead / IR Team</w:t>
            </w:r>
          </w:p>
        </w:tc>
        <w:tc>
          <w:tcPr>
            <w:tcW w:type="dxa" w:w="2460"/>
            <w:tcBorders>
              <w:top w:val="single" w:color="CCCCCC" w:sz="1"/>
              <w:left w:val="single" w:color="CCCCCC" w:sz="1"/>
              <w:bottom w:val="single" w:color="CCCCCC" w:sz="1"/>
              <w:right w:val="single" w:color="CCCCCC" w:sz="1"/>
            </w:tcBorders>
            <w:tcMar>
              <w:top w:type="dxa" w:w="80"/>
              <w:left w:type="dxa" w:w="120"/>
              <w:bottom w:type="dxa" w:w="80"/>
              <w:right w:type="dxa" w:w="120"/>
            </w:tcMar>
          </w:tcPr>
          <w:p>
            <w:r>
              <w:rPr>
                <w:rFonts w:ascii="Arial" w:cs="Arial" w:eastAsia="Arial" w:hAnsi="Arial"/>
                <w:b w:val="false"/>
                <w:bCs w:val="false"/>
                <w:color w:val="666666"/>
                <w:sz w:val="18"/>
                <w:szCs w:val="18"/>
              </w:rPr>
              <w:t xml:space="preserve">Within 1 hour</w:t>
            </w:r>
          </w:p>
        </w:tc>
      </w:tr>
      <w:tr>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bCs/>
                <w:color w:val="333333"/>
                <w:sz w:val="18"/>
                <w:szCs w:val="18"/>
              </w:rPr>
              <w:t xml:space="preserve">Confirmed data breach</w:t>
            </w:r>
          </w:p>
        </w:tc>
        <w:tc>
          <w:tcPr>
            <w:tcW w:type="dxa" w:w="25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Full incident response; legal and regulatory notification assessment</w:t>
            </w:r>
          </w:p>
        </w:tc>
        <w:tc>
          <w:tcPr>
            <w:tcW w:type="dxa" w:w="220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IR Team / Legal</w:t>
            </w:r>
          </w:p>
        </w:tc>
        <w:tc>
          <w:tcPr>
            <w:tcW w:type="dxa" w:w="246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r>
              <w:rPr>
                <w:rFonts w:ascii="Arial" w:cs="Arial" w:eastAsia="Arial" w:hAnsi="Arial"/>
                <w:b w:val="false"/>
                <w:bCs w:val="false"/>
                <w:color w:val="666666"/>
                <w:sz w:val="18"/>
                <w:szCs w:val="18"/>
              </w:rPr>
              <w:t xml:space="preserve">Immediate</w:t>
            </w:r>
          </w:p>
        </w:tc>
      </w:tr>
    </w:tbl>
    <w:p>
      <w:r>
        <w:br w:type="page"/>
      </w:r>
    </w:p>
    <w:p>
      <w:pPr>
        <w:pStyle w:val="Heading1"/>
        <w:spacing w:before="360" w:after="120"/>
      </w:pPr>
      <w:r>
        <w:rPr>
          <w:rFonts w:ascii="Arial" w:cs="Arial" w:eastAsia="Arial" w:hAnsi="Arial"/>
          <w:b/>
          <w:bCs/>
          <w:color w:val="1B3A5C"/>
          <w:sz w:val="28"/>
          <w:szCs w:val="28"/>
        </w:rPr>
        <w:t xml:space="preserve">9. Policy Violations and Enforcement</w:t>
      </w:r>
    </w:p>
    <w:p>
      <w:pPr>
        <w:pStyle w:val="Heading2"/>
        <w:spacing w:before="240" w:after="100"/>
      </w:pPr>
      <w:r>
        <w:rPr>
          <w:rFonts w:ascii="Arial" w:cs="Arial" w:eastAsia="Arial" w:hAnsi="Arial"/>
          <w:b/>
          <w:bCs/>
          <w:color w:val="2E75B6"/>
          <w:sz w:val="24"/>
          <w:szCs w:val="24"/>
        </w:rPr>
        <w:t xml:space="preserve">9.1 Violations</w:t>
      </w:r>
    </w:p>
    <w:p>
      <w:pPr>
        <w:spacing w:after="120"/>
      </w:pPr>
      <w:r>
        <w:rPr>
          <w:rFonts w:ascii="Arial" w:cs="Arial" w:eastAsia="Arial" w:hAnsi="Arial"/>
          <w:color w:val="333333"/>
          <w:sz w:val="20"/>
          <w:szCs w:val="20"/>
        </w:rPr>
        <w:t xml:space="preserve">Violations of this policy include, but are not limited to:</w:t>
      </w:r>
    </w:p>
    <w:p>
      <w:pPr>
        <w:pStyle w:val="ListParagraph"/>
        <w:numPr>
          <w:ilvl w:val="0"/>
          <w:numId w:val="2"/>
        </w:numPr>
        <w:spacing w:after="60"/>
      </w:pPr>
      <w:r>
        <w:rPr>
          <w:rFonts w:ascii="Arial" w:cs="Arial" w:eastAsia="Arial" w:hAnsi="Arial"/>
          <w:color w:val="333333"/>
          <w:sz w:val="20"/>
          <w:szCs w:val="20"/>
        </w:rPr>
        <w:t xml:space="preserve">Failure to comply with minimum device security requirements</w:t>
      </w:r>
    </w:p>
    <w:p>
      <w:pPr>
        <w:pStyle w:val="ListParagraph"/>
        <w:numPr>
          <w:ilvl w:val="0"/>
          <w:numId w:val="2"/>
        </w:numPr>
        <w:spacing w:after="60"/>
      </w:pPr>
      <w:r>
        <w:rPr>
          <w:rFonts w:ascii="Arial" w:cs="Arial" w:eastAsia="Arial" w:hAnsi="Arial"/>
          <w:color w:val="333333"/>
          <w:sz w:val="20"/>
          <w:szCs w:val="20"/>
        </w:rPr>
        <w:t xml:space="preserve">Disabling or tampering with MDM software or security controls</w:t>
      </w:r>
    </w:p>
    <w:p>
      <w:pPr>
        <w:pStyle w:val="ListParagraph"/>
        <w:numPr>
          <w:ilvl w:val="0"/>
          <w:numId w:val="2"/>
        </w:numPr>
        <w:spacing w:after="60"/>
      </w:pPr>
      <w:r>
        <w:rPr>
          <w:rFonts w:ascii="Arial" w:cs="Arial" w:eastAsia="Arial" w:hAnsi="Arial"/>
          <w:color w:val="333333"/>
          <w:sz w:val="20"/>
          <w:szCs w:val="20"/>
        </w:rPr>
        <w:t xml:space="preserve">Unauthorized storage or transfer of corporate data to personal accounts</w:t>
      </w:r>
    </w:p>
    <w:p>
      <w:pPr>
        <w:pStyle w:val="ListParagraph"/>
        <w:numPr>
          <w:ilvl w:val="0"/>
          <w:numId w:val="2"/>
        </w:numPr>
        <w:spacing w:after="60"/>
      </w:pPr>
      <w:r>
        <w:rPr>
          <w:rFonts w:ascii="Arial" w:cs="Arial" w:eastAsia="Arial" w:hAnsi="Arial"/>
          <w:color w:val="333333"/>
          <w:sz w:val="20"/>
          <w:szCs w:val="20"/>
        </w:rPr>
        <w:t xml:space="preserve">Failure to report a lost, stolen, or compromised device within the required timeframe</w:t>
      </w:r>
    </w:p>
    <w:p>
      <w:pPr>
        <w:pStyle w:val="ListParagraph"/>
        <w:numPr>
          <w:ilvl w:val="0"/>
          <w:numId w:val="2"/>
        </w:numPr>
        <w:spacing w:after="60"/>
      </w:pPr>
      <w:r>
        <w:rPr>
          <w:rFonts w:ascii="Arial" w:cs="Arial" w:eastAsia="Arial" w:hAnsi="Arial"/>
          <w:color w:val="333333"/>
          <w:sz w:val="20"/>
          <w:szCs w:val="20"/>
        </w:rPr>
        <w:t xml:space="preserve">Sharing the device or access credentials with unauthorized individuals</w:t>
      </w:r>
    </w:p>
    <w:p>
      <w:pPr>
        <w:pStyle w:val="ListParagraph"/>
        <w:numPr>
          <w:ilvl w:val="0"/>
          <w:numId w:val="2"/>
        </w:numPr>
        <w:spacing w:after="60"/>
      </w:pPr>
      <w:r>
        <w:rPr>
          <w:rFonts w:ascii="Arial" w:cs="Arial" w:eastAsia="Arial" w:hAnsi="Arial"/>
          <w:color w:val="333333"/>
          <w:sz w:val="20"/>
          <w:szCs w:val="20"/>
        </w:rPr>
        <w:t xml:space="preserve">Refusing to cooperate with remote wipe or de-enrollment upon separation</w:t>
      </w:r>
    </w:p>
    <w:p>
      <w:pPr>
        <w:pStyle w:val="ListParagraph"/>
        <w:numPr>
          <w:ilvl w:val="0"/>
          <w:numId w:val="2"/>
        </w:numPr>
        <w:spacing w:after="60"/>
      </w:pPr>
      <w:r>
        <w:rPr>
          <w:rFonts w:ascii="Arial" w:cs="Arial" w:eastAsia="Arial" w:hAnsi="Arial"/>
          <w:color w:val="333333"/>
          <w:sz w:val="20"/>
          <w:szCs w:val="20"/>
        </w:rPr>
        <w:t xml:space="preserve">Using a jailbroken, rooted, or non-compliant device to access corporate resources</w:t>
      </w:r>
    </w:p>
    <w:p>
      <w:pPr>
        <w:pStyle w:val="Heading2"/>
        <w:spacing w:before="240" w:after="100"/>
      </w:pPr>
      <w:r>
        <w:rPr>
          <w:rFonts w:ascii="Arial" w:cs="Arial" w:eastAsia="Arial" w:hAnsi="Arial"/>
          <w:b/>
          <w:bCs/>
          <w:color w:val="2E75B6"/>
          <w:sz w:val="24"/>
          <w:szCs w:val="24"/>
        </w:rPr>
        <w:t xml:space="preserve">9.2 Consequences</w:t>
      </w:r>
    </w:p>
    <w:p>
      <w:pPr>
        <w:spacing w:after="120"/>
      </w:pPr>
      <w:r>
        <w:rPr>
          <w:rFonts w:ascii="Arial" w:cs="Arial" w:eastAsia="Arial" w:hAnsi="Arial"/>
          <w:color w:val="333333"/>
          <w:sz w:val="20"/>
          <w:szCs w:val="20"/>
        </w:rPr>
        <w:t xml:space="preserve">Violations may result in one or more of the following actions, depending on severity:</w:t>
      </w:r>
    </w:p>
    <w:p>
      <w:pPr>
        <w:pStyle w:val="ListParagraph"/>
        <w:numPr>
          <w:ilvl w:val="0"/>
          <w:numId w:val="6"/>
        </w:numPr>
        <w:spacing w:after="60"/>
      </w:pPr>
      <w:r>
        <w:rPr>
          <w:rFonts w:ascii="Arial" w:cs="Arial" w:eastAsia="Arial" w:hAnsi="Arial"/>
          <w:color w:val="333333"/>
          <w:sz w:val="20"/>
          <w:szCs w:val="20"/>
        </w:rPr>
        <w:t xml:space="preserve">Immediate revocation of BYOD access privileges</w:t>
      </w:r>
    </w:p>
    <w:p>
      <w:pPr>
        <w:pStyle w:val="ListParagraph"/>
        <w:numPr>
          <w:ilvl w:val="0"/>
          <w:numId w:val="6"/>
        </w:numPr>
        <w:spacing w:after="60"/>
      </w:pPr>
      <w:r>
        <w:rPr>
          <w:rFonts w:ascii="Arial" w:cs="Arial" w:eastAsia="Arial" w:hAnsi="Arial"/>
          <w:color w:val="333333"/>
          <w:sz w:val="20"/>
          <w:szCs w:val="20"/>
        </w:rPr>
        <w:t xml:space="preserve">Remote wipe of corporate data from the personal device</w:t>
      </w:r>
    </w:p>
    <w:p>
      <w:pPr>
        <w:pStyle w:val="ListParagraph"/>
        <w:numPr>
          <w:ilvl w:val="0"/>
          <w:numId w:val="6"/>
        </w:numPr>
        <w:spacing w:after="60"/>
      </w:pPr>
      <w:r>
        <w:rPr>
          <w:rFonts w:ascii="Arial" w:cs="Arial" w:eastAsia="Arial" w:hAnsi="Arial"/>
          <w:color w:val="333333"/>
          <w:sz w:val="20"/>
          <w:szCs w:val="20"/>
        </w:rPr>
        <w:t xml:space="preserve">Mandatory security retraining</w:t>
      </w:r>
    </w:p>
    <w:p>
      <w:pPr>
        <w:pStyle w:val="ListParagraph"/>
        <w:numPr>
          <w:ilvl w:val="0"/>
          <w:numId w:val="6"/>
        </w:numPr>
        <w:spacing w:after="60"/>
      </w:pPr>
      <w:r>
        <w:rPr>
          <w:rFonts w:ascii="Arial" w:cs="Arial" w:eastAsia="Arial" w:hAnsi="Arial"/>
          <w:color w:val="333333"/>
          <w:sz w:val="20"/>
          <w:szCs w:val="20"/>
        </w:rPr>
        <w:t xml:space="preserve">Formal disciplinary action, up to and including termination of employment</w:t>
      </w:r>
    </w:p>
    <w:p>
      <w:pPr>
        <w:pStyle w:val="ListParagraph"/>
        <w:numPr>
          <w:ilvl w:val="0"/>
          <w:numId w:val="6"/>
        </w:numPr>
        <w:spacing w:after="60"/>
      </w:pPr>
      <w:r>
        <w:rPr>
          <w:rFonts w:ascii="Arial" w:cs="Arial" w:eastAsia="Arial" w:hAnsi="Arial"/>
          <w:color w:val="333333"/>
          <w:sz w:val="20"/>
          <w:szCs w:val="20"/>
        </w:rPr>
        <w:t xml:space="preserve">Referral to law enforcement if criminal activity is suspected</w:t>
      </w:r>
    </w:p>
    <w:p>
      <w:pPr>
        <w:pStyle w:val="ListParagraph"/>
        <w:numPr>
          <w:ilvl w:val="0"/>
          <w:numId w:val="6"/>
        </w:numPr>
        <w:spacing w:after="60"/>
      </w:pPr>
      <w:r>
        <w:rPr>
          <w:rFonts w:ascii="Arial" w:cs="Arial" w:eastAsia="Arial" w:hAnsi="Arial"/>
          <w:color w:val="333333"/>
          <w:sz w:val="20"/>
          <w:szCs w:val="20"/>
        </w:rPr>
        <w:t xml:space="preserve">Financial liability for damages resulting from willful or grossly negligent policy violations</w:t>
      </w:r>
    </w:p>
    <w:p>
      <w:pPr>
        <w:pStyle w:val="Heading2"/>
        <w:spacing w:before="240" w:after="100"/>
      </w:pPr>
      <w:r>
        <w:rPr>
          <w:rFonts w:ascii="Arial" w:cs="Arial" w:eastAsia="Arial" w:hAnsi="Arial"/>
          <w:b/>
          <w:bCs/>
          <w:color w:val="2E75B6"/>
          <w:sz w:val="24"/>
          <w:szCs w:val="24"/>
        </w:rPr>
        <w:t xml:space="preserve">9.3 Compliance Monitoring</w:t>
      </w:r>
    </w:p>
    <w:p>
      <w:pPr>
        <w:spacing w:after="120"/>
      </w:pPr>
      <w:r>
        <w:rPr>
          <w:rFonts w:ascii="Arial" w:cs="Arial" w:eastAsia="Arial" w:hAnsi="Arial"/>
          <w:color w:val="333333"/>
          <w:sz w:val="20"/>
          <w:szCs w:val="20"/>
        </w:rPr>
        <w:t xml:space="preserve">The organization reserves the right to:</w:t>
      </w:r>
    </w:p>
    <w:p>
      <w:pPr>
        <w:pStyle w:val="ListParagraph"/>
        <w:numPr>
          <w:ilvl w:val="0"/>
          <w:numId w:val="2"/>
        </w:numPr>
        <w:spacing w:after="60"/>
      </w:pPr>
      <w:r>
        <w:rPr>
          <w:rFonts w:ascii="Arial" w:cs="Arial" w:eastAsia="Arial" w:hAnsi="Arial"/>
          <w:color w:val="333333"/>
          <w:sz w:val="20"/>
          <w:szCs w:val="20"/>
        </w:rPr>
        <w:t xml:space="preserve">Audit enrolled devices for policy compliance at any time</w:t>
      </w:r>
    </w:p>
    <w:p>
      <w:pPr>
        <w:pStyle w:val="ListParagraph"/>
        <w:numPr>
          <w:ilvl w:val="0"/>
          <w:numId w:val="2"/>
        </w:numPr>
        <w:spacing w:after="60"/>
      </w:pPr>
      <w:r>
        <w:rPr>
          <w:rFonts w:ascii="Arial" w:cs="Arial" w:eastAsia="Arial" w:hAnsi="Arial"/>
          <w:color w:val="333333"/>
          <w:sz w:val="20"/>
          <w:szCs w:val="20"/>
        </w:rPr>
        <w:t xml:space="preserve">Automatically block non-compliant devices from accessing corporate resources</w:t>
      </w:r>
    </w:p>
    <w:p>
      <w:pPr>
        <w:pStyle w:val="ListParagraph"/>
        <w:numPr>
          <w:ilvl w:val="0"/>
          <w:numId w:val="2"/>
        </w:numPr>
        <w:spacing w:after="60"/>
      </w:pPr>
      <w:r>
        <w:rPr>
          <w:rFonts w:ascii="Arial" w:cs="Arial" w:eastAsia="Arial" w:hAnsi="Arial"/>
          <w:color w:val="333333"/>
          <w:sz w:val="20"/>
          <w:szCs w:val="20"/>
        </w:rPr>
        <w:t xml:space="preserve">Review access logs and security event data related to BYOD devices</w:t>
      </w:r>
    </w:p>
    <w:p>
      <w:pPr>
        <w:pStyle w:val="ListParagraph"/>
        <w:numPr>
          <w:ilvl w:val="0"/>
          <w:numId w:val="2"/>
        </w:numPr>
        <w:spacing w:after="60"/>
      </w:pPr>
      <w:r>
        <w:rPr>
          <w:rFonts w:ascii="Arial" w:cs="Arial" w:eastAsia="Arial" w:hAnsi="Arial"/>
          <w:color w:val="333333"/>
          <w:sz w:val="20"/>
          <w:szCs w:val="20"/>
        </w:rPr>
        <w:t xml:space="preserve">Conduct periodic compliance reviews and spot checks</w:t>
      </w:r>
    </w:p>
    <w:p>
      <w:r>
        <w:br w:type="page"/>
      </w:r>
    </w:p>
    <w:p>
      <w:pPr>
        <w:pStyle w:val="Heading1"/>
        <w:spacing w:before="360" w:after="120"/>
      </w:pPr>
      <w:r>
        <w:rPr>
          <w:rFonts w:ascii="Arial" w:cs="Arial" w:eastAsia="Arial" w:hAnsi="Arial"/>
          <w:b/>
          <w:bCs/>
          <w:color w:val="1B3A5C"/>
          <w:sz w:val="28"/>
          <w:szCs w:val="28"/>
        </w:rPr>
        <w:t xml:space="preserve">10. Support, Costs, and Liability</w:t>
      </w:r>
    </w:p>
    <w:p>
      <w:pPr>
        <w:pStyle w:val="Heading2"/>
        <w:spacing w:before="240" w:after="100"/>
      </w:pPr>
      <w:r>
        <w:rPr>
          <w:rFonts w:ascii="Arial" w:cs="Arial" w:eastAsia="Arial" w:hAnsi="Arial"/>
          <w:b/>
          <w:bCs/>
          <w:color w:val="2E75B6"/>
          <w:sz w:val="24"/>
          <w:szCs w:val="24"/>
        </w:rPr>
        <w:t xml:space="preserve">10.1 Technical Support</w:t>
      </w:r>
    </w:p>
    <w:p>
      <w:pPr>
        <w:spacing w:after="120"/>
      </w:pPr>
      <w:r>
        <w:rPr>
          <w:rFonts w:ascii="Arial" w:cs="Arial" w:eastAsia="Arial" w:hAnsi="Arial"/>
          <w:color w:val="333333"/>
          <w:sz w:val="20"/>
          <w:szCs w:val="20"/>
        </w:rPr>
        <w:t xml:space="preserve">The organization will provide technical support for:</w:t>
      </w:r>
    </w:p>
    <w:p>
      <w:pPr>
        <w:pStyle w:val="ListParagraph"/>
        <w:numPr>
          <w:ilvl w:val="0"/>
          <w:numId w:val="2"/>
        </w:numPr>
        <w:spacing w:after="60"/>
      </w:pPr>
      <w:r>
        <w:rPr>
          <w:rFonts w:ascii="Arial" w:cs="Arial" w:eastAsia="Arial" w:hAnsi="Arial"/>
          <w:color w:val="333333"/>
          <w:sz w:val="20"/>
          <w:szCs w:val="20"/>
        </w:rPr>
        <w:t xml:space="preserve">MDM enrollment and configuration of corporate applications</w:t>
      </w:r>
    </w:p>
    <w:p>
      <w:pPr>
        <w:pStyle w:val="ListParagraph"/>
        <w:numPr>
          <w:ilvl w:val="0"/>
          <w:numId w:val="2"/>
        </w:numPr>
        <w:spacing w:after="60"/>
      </w:pPr>
      <w:r>
        <w:rPr>
          <w:rFonts w:ascii="Arial" w:cs="Arial" w:eastAsia="Arial" w:hAnsi="Arial"/>
          <w:color w:val="333333"/>
          <w:sz w:val="20"/>
          <w:szCs w:val="20"/>
        </w:rPr>
        <w:t xml:space="preserve">Troubleshooting access to corporate email, VPN, and business applications</w:t>
      </w:r>
    </w:p>
    <w:p>
      <w:pPr>
        <w:pStyle w:val="ListParagraph"/>
        <w:numPr>
          <w:ilvl w:val="0"/>
          <w:numId w:val="2"/>
        </w:numPr>
        <w:spacing w:after="60"/>
      </w:pPr>
      <w:r>
        <w:rPr>
          <w:rFonts w:ascii="Arial" w:cs="Arial" w:eastAsia="Arial" w:hAnsi="Arial"/>
          <w:color w:val="333333"/>
          <w:sz w:val="20"/>
          <w:szCs w:val="20"/>
        </w:rPr>
        <w:t xml:space="preserve">Security incident response involving corporate data on the personal device</w:t>
      </w:r>
    </w:p>
    <w:p>
      <w:pPr>
        <w:spacing w:after="120"/>
      </w:pPr>
      <w:r>
        <w:rPr>
          <w:rFonts w:ascii="Arial" w:cs="Arial" w:eastAsia="Arial" w:hAnsi="Arial"/>
          <w:color w:val="333333"/>
          <w:sz w:val="20"/>
          <w:szCs w:val="20"/>
        </w:rPr>
        <w:t xml:space="preserve">The organization will NOT provide support for:</w:t>
      </w:r>
    </w:p>
    <w:p>
      <w:pPr>
        <w:pStyle w:val="ListParagraph"/>
        <w:numPr>
          <w:ilvl w:val="0"/>
          <w:numId w:val="2"/>
        </w:numPr>
        <w:spacing w:after="60"/>
      </w:pPr>
      <w:r>
        <w:rPr>
          <w:rFonts w:ascii="Arial" w:cs="Arial" w:eastAsia="Arial" w:hAnsi="Arial"/>
          <w:color w:val="333333"/>
          <w:sz w:val="20"/>
          <w:szCs w:val="20"/>
        </w:rPr>
        <w:t xml:space="preserve">Personal applications, hardware issues, or device repairs</w:t>
      </w:r>
    </w:p>
    <w:p>
      <w:pPr>
        <w:pStyle w:val="ListParagraph"/>
        <w:numPr>
          <w:ilvl w:val="0"/>
          <w:numId w:val="2"/>
        </w:numPr>
        <w:spacing w:after="60"/>
      </w:pPr>
      <w:r>
        <w:rPr>
          <w:rFonts w:ascii="Arial" w:cs="Arial" w:eastAsia="Arial" w:hAnsi="Arial"/>
          <w:color w:val="333333"/>
          <w:sz w:val="20"/>
          <w:szCs w:val="20"/>
        </w:rPr>
        <w:t xml:space="preserve">Personal data backup, recovery, or restoration</w:t>
      </w:r>
    </w:p>
    <w:p>
      <w:pPr>
        <w:pStyle w:val="ListParagraph"/>
        <w:numPr>
          <w:ilvl w:val="0"/>
          <w:numId w:val="2"/>
        </w:numPr>
        <w:spacing w:after="60"/>
      </w:pPr>
      <w:r>
        <w:rPr>
          <w:rFonts w:ascii="Arial" w:cs="Arial" w:eastAsia="Arial" w:hAnsi="Arial"/>
          <w:color w:val="333333"/>
          <w:sz w:val="20"/>
          <w:szCs w:val="20"/>
        </w:rPr>
        <w:t xml:space="preserve">Operating system upgrades or device configuration beyond corporate requirements</w:t>
      </w:r>
    </w:p>
    <w:p>
      <w:pPr>
        <w:pStyle w:val="Heading2"/>
        <w:spacing w:before="240" w:after="100"/>
      </w:pPr>
      <w:r>
        <w:rPr>
          <w:rFonts w:ascii="Arial" w:cs="Arial" w:eastAsia="Arial" w:hAnsi="Arial"/>
          <w:b/>
          <w:bCs/>
          <w:color w:val="2E75B6"/>
          <w:sz w:val="24"/>
          <w:szCs w:val="24"/>
        </w:rPr>
        <w:t xml:space="preserve">10.2 Costs and Reimbursement</w:t>
      </w:r>
    </w:p>
    <w:p>
      <w:pPr>
        <w:spacing w:after="120"/>
      </w:pPr>
      <w:r>
        <w:rPr>
          <w:rFonts w:ascii="Arial" w:cs="Arial" w:eastAsia="Arial" w:hAnsi="Arial"/>
          <w:color w:val="333333"/>
          <w:sz w:val="20"/>
          <w:szCs w:val="20"/>
        </w:rPr>
        <w:t xml:space="preserve">[Organization Name]’s policy on BYOD costs is as follows:</w:t>
      </w:r>
    </w:p>
    <w:p>
      <w:pPr>
        <w:pStyle w:val="ListParagraph"/>
        <w:numPr>
          <w:ilvl w:val="0"/>
          <w:numId w:val="2"/>
        </w:numPr>
        <w:spacing w:after="60"/>
      </w:pPr>
      <w:r>
        <w:rPr>
          <w:rFonts w:ascii="Arial" w:cs="Arial" w:eastAsia="Arial" w:hAnsi="Arial"/>
          <w:b/>
          <w:bCs/>
          <w:color w:val="333333"/>
          <w:sz w:val="20"/>
          <w:szCs w:val="20"/>
        </w:rPr>
        <w:t xml:space="preserve">Device Purchase: </w:t>
      </w:r>
      <w:r>
        <w:rPr>
          <w:rFonts w:ascii="Arial" w:cs="Arial" w:eastAsia="Arial" w:hAnsi="Arial"/>
          <w:color w:val="333333"/>
          <w:sz w:val="20"/>
          <w:szCs w:val="20"/>
        </w:rPr>
        <w:t xml:space="preserve">[Employee responsibility / Stipend of $____ per month / Reimbursement up to $____]</w:t>
      </w:r>
    </w:p>
    <w:p>
      <w:pPr>
        <w:pStyle w:val="ListParagraph"/>
        <w:numPr>
          <w:ilvl w:val="0"/>
          <w:numId w:val="2"/>
        </w:numPr>
        <w:spacing w:after="60"/>
      </w:pPr>
      <w:r>
        <w:rPr>
          <w:rFonts w:ascii="Arial" w:cs="Arial" w:eastAsia="Arial" w:hAnsi="Arial"/>
          <w:b/>
          <w:bCs/>
          <w:color w:val="333333"/>
          <w:sz w:val="20"/>
          <w:szCs w:val="20"/>
        </w:rPr>
        <w:t xml:space="preserve">Service Plan: </w:t>
      </w:r>
      <w:r>
        <w:rPr>
          <w:rFonts w:ascii="Arial" w:cs="Arial" w:eastAsia="Arial" w:hAnsi="Arial"/>
          <w:color w:val="333333"/>
          <w:sz w:val="20"/>
          <w:szCs w:val="20"/>
        </w:rPr>
        <w:t xml:space="preserve">[Employee responsibility / Partial reimbursement of $____ per month]</w:t>
      </w:r>
    </w:p>
    <w:p>
      <w:pPr>
        <w:pStyle w:val="ListParagraph"/>
        <w:numPr>
          <w:ilvl w:val="0"/>
          <w:numId w:val="2"/>
        </w:numPr>
        <w:spacing w:after="60"/>
      </w:pPr>
      <w:r>
        <w:rPr>
          <w:rFonts w:ascii="Arial" w:cs="Arial" w:eastAsia="Arial" w:hAnsi="Arial"/>
          <w:b/>
          <w:bCs/>
          <w:color w:val="333333"/>
          <w:sz w:val="20"/>
          <w:szCs w:val="20"/>
        </w:rPr>
        <w:t xml:space="preserve">Repairs and Insurance: </w:t>
      </w:r>
      <w:r>
        <w:rPr>
          <w:rFonts w:ascii="Arial" w:cs="Arial" w:eastAsia="Arial" w:hAnsi="Arial"/>
          <w:color w:val="333333"/>
          <w:sz w:val="20"/>
          <w:szCs w:val="20"/>
        </w:rPr>
        <w:t xml:space="preserve">[Employee responsibility]</w:t>
      </w:r>
    </w:p>
    <w:p>
      <w:pPr>
        <w:pStyle w:val="ListParagraph"/>
        <w:numPr>
          <w:ilvl w:val="0"/>
          <w:numId w:val="2"/>
        </w:numPr>
        <w:spacing w:after="60"/>
      </w:pPr>
      <w:r>
        <w:rPr>
          <w:rFonts w:ascii="Arial" w:cs="Arial" w:eastAsia="Arial" w:hAnsi="Arial"/>
          <w:b/>
          <w:bCs/>
          <w:color w:val="333333"/>
          <w:sz w:val="20"/>
          <w:szCs w:val="20"/>
        </w:rPr>
        <w:t xml:space="preserve">Corporate Applications: </w:t>
      </w:r>
      <w:r>
        <w:rPr>
          <w:rFonts w:ascii="Arial" w:cs="Arial" w:eastAsia="Arial" w:hAnsi="Arial"/>
          <w:color w:val="333333"/>
          <w:sz w:val="20"/>
          <w:szCs w:val="20"/>
        </w:rPr>
        <w:t xml:space="preserve">[Organization provides at no cost to employee]</w:t>
      </w:r>
    </w:p>
    <w:p>
      <w:pPr>
        <w:spacing w:after="100"/>
      </w:pPr>
      <w:r>
        <w:rPr>
          <w:rFonts w:ascii="Arial" w:cs="Arial" w:eastAsia="Arial" w:hAnsi="Arial"/>
          <w:i/>
          <w:iCs/>
          <w:color w:val="666666"/>
          <w:sz w:val="18"/>
          <w:szCs w:val="18"/>
        </w:rPr>
        <w:t xml:space="preserve">Customize the above based on your organization’s reimbursement policy.</w:t>
      </w:r>
    </w:p>
    <w:p>
      <w:pPr>
        <w:pStyle w:val="Heading2"/>
        <w:spacing w:before="240" w:after="100"/>
      </w:pPr>
      <w:r>
        <w:rPr>
          <w:rFonts w:ascii="Arial" w:cs="Arial" w:eastAsia="Arial" w:hAnsi="Arial"/>
          <w:b/>
          <w:bCs/>
          <w:color w:val="2E75B6"/>
          <w:sz w:val="24"/>
          <w:szCs w:val="24"/>
        </w:rPr>
        <w:t xml:space="preserve">10.3 Liability</w:t>
      </w:r>
    </w:p>
    <w:p>
      <w:pPr>
        <w:spacing w:after="120"/>
      </w:pPr>
      <w:r>
        <w:rPr>
          <w:rFonts w:ascii="Arial" w:cs="Arial" w:eastAsia="Arial" w:hAnsi="Arial"/>
          <w:color w:val="333333"/>
          <w:sz w:val="20"/>
          <w:szCs w:val="20"/>
        </w:rPr>
        <w:t xml:space="preserve">The organization is not liable for:</w:t>
      </w:r>
    </w:p>
    <w:p>
      <w:pPr>
        <w:pStyle w:val="ListParagraph"/>
        <w:numPr>
          <w:ilvl w:val="0"/>
          <w:numId w:val="2"/>
        </w:numPr>
        <w:spacing w:after="60"/>
      </w:pPr>
      <w:r>
        <w:rPr>
          <w:rFonts w:ascii="Arial" w:cs="Arial" w:eastAsia="Arial" w:hAnsi="Arial"/>
          <w:color w:val="333333"/>
          <w:sz w:val="20"/>
          <w:szCs w:val="20"/>
        </w:rPr>
        <w:t xml:space="preserve">Loss of personal data during remote wipe or corporate container removal</w:t>
      </w:r>
    </w:p>
    <w:p>
      <w:pPr>
        <w:pStyle w:val="ListParagraph"/>
        <w:numPr>
          <w:ilvl w:val="0"/>
          <w:numId w:val="2"/>
        </w:numPr>
        <w:spacing w:after="60"/>
      </w:pPr>
      <w:r>
        <w:rPr>
          <w:rFonts w:ascii="Arial" w:cs="Arial" w:eastAsia="Arial" w:hAnsi="Arial"/>
          <w:color w:val="333333"/>
          <w:sz w:val="20"/>
          <w:szCs w:val="20"/>
        </w:rPr>
        <w:t xml:space="preserve">Damage to the personal device arising from MDM software or corporate applications</w:t>
      </w:r>
    </w:p>
    <w:p>
      <w:pPr>
        <w:pStyle w:val="ListParagraph"/>
        <w:numPr>
          <w:ilvl w:val="0"/>
          <w:numId w:val="2"/>
        </w:numPr>
        <w:spacing w:after="60"/>
      </w:pPr>
      <w:r>
        <w:rPr>
          <w:rFonts w:ascii="Arial" w:cs="Arial" w:eastAsia="Arial" w:hAnsi="Arial"/>
          <w:color w:val="333333"/>
          <w:sz w:val="20"/>
          <w:szCs w:val="20"/>
        </w:rPr>
        <w:t xml:space="preserve">Loss or theft of the personal device</w:t>
      </w:r>
    </w:p>
    <w:p>
      <w:pPr>
        <w:pStyle w:val="ListParagraph"/>
        <w:numPr>
          <w:ilvl w:val="0"/>
          <w:numId w:val="2"/>
        </w:numPr>
        <w:spacing w:after="60"/>
      </w:pPr>
      <w:r>
        <w:rPr>
          <w:rFonts w:ascii="Arial" w:cs="Arial" w:eastAsia="Arial" w:hAnsi="Arial"/>
          <w:color w:val="333333"/>
          <w:sz w:val="20"/>
          <w:szCs w:val="20"/>
        </w:rPr>
        <w:t xml:space="preserve">Costs associated with device repair, replacement, or service plan charges</w:t>
      </w:r>
    </w:p>
    <w:p>
      <w:r>
        <w:br w:type="page"/>
      </w:r>
    </w:p>
    <w:p>
      <w:pPr>
        <w:pStyle w:val="Heading1"/>
        <w:spacing w:before="360" w:after="120"/>
      </w:pPr>
      <w:r>
        <w:rPr>
          <w:rFonts w:ascii="Arial" w:cs="Arial" w:eastAsia="Arial" w:hAnsi="Arial"/>
          <w:b/>
          <w:bCs/>
          <w:color w:val="1B3A5C"/>
          <w:sz w:val="28"/>
          <w:szCs w:val="28"/>
        </w:rPr>
        <w:t xml:space="preserve">11. Separation and Offboarding *</w:t>
      </w:r>
    </w:p>
    <w:p>
      <w:pPr>
        <w:spacing w:after="120"/>
      </w:pPr>
      <w:r>
        <w:rPr>
          <w:rFonts w:ascii="Arial" w:cs="Arial" w:eastAsia="Arial" w:hAnsi="Arial"/>
          <w:color w:val="333333"/>
          <w:sz w:val="20"/>
          <w:szCs w:val="20"/>
        </w:rPr>
        <w:t xml:space="preserve">Upon separation from the organization (voluntary resignation, involuntary termination, end of contract, or leave of absence exceeding 90 days), the following actions will be taken:</w:t>
      </w:r>
    </w:p>
    <w:p>
      <w:pPr>
        <w:pStyle w:val="ListParagraph"/>
        <w:numPr>
          <w:ilvl w:val="0"/>
          <w:numId w:val="7"/>
        </w:numPr>
        <w:spacing w:after="60"/>
      </w:pPr>
      <w:r>
        <w:rPr>
          <w:rFonts w:ascii="Arial" w:cs="Arial" w:eastAsia="Arial" w:hAnsi="Arial"/>
          <w:color w:val="333333"/>
          <w:sz w:val="20"/>
          <w:szCs w:val="20"/>
        </w:rPr>
        <w:t xml:space="preserve">All corporate access credentials and VPN access will be revoked immediately</w:t>
      </w:r>
    </w:p>
    <w:p>
      <w:pPr>
        <w:pStyle w:val="ListParagraph"/>
        <w:numPr>
          <w:ilvl w:val="0"/>
          <w:numId w:val="7"/>
        </w:numPr>
        <w:spacing w:after="60"/>
      </w:pPr>
      <w:r>
        <w:rPr>
          <w:rFonts w:ascii="Arial" w:cs="Arial" w:eastAsia="Arial" w:hAnsi="Arial"/>
          <w:color w:val="333333"/>
          <w:sz w:val="20"/>
          <w:szCs w:val="20"/>
        </w:rPr>
        <w:t xml:space="preserve">MDM will remotely remove all corporate data, applications, and access profiles</w:t>
      </w:r>
    </w:p>
    <w:p>
      <w:pPr>
        <w:pStyle w:val="ListParagraph"/>
        <w:numPr>
          <w:ilvl w:val="0"/>
          <w:numId w:val="7"/>
        </w:numPr>
        <w:spacing w:after="60"/>
      </w:pPr>
      <w:r>
        <w:rPr>
          <w:rFonts w:ascii="Arial" w:cs="Arial" w:eastAsia="Arial" w:hAnsi="Arial"/>
          <w:color w:val="333333"/>
          <w:sz w:val="20"/>
          <w:szCs w:val="20"/>
        </w:rPr>
        <w:t xml:space="preserve">The employee must confirm deletion of any corporate data remaining on the device</w:t>
      </w:r>
    </w:p>
    <w:p>
      <w:pPr>
        <w:pStyle w:val="ListParagraph"/>
        <w:numPr>
          <w:ilvl w:val="0"/>
          <w:numId w:val="7"/>
        </w:numPr>
        <w:spacing w:after="60"/>
      </w:pPr>
      <w:r>
        <w:rPr>
          <w:rFonts w:ascii="Arial" w:cs="Arial" w:eastAsia="Arial" w:hAnsi="Arial"/>
          <w:color w:val="333333"/>
          <w:sz w:val="20"/>
          <w:szCs w:val="20"/>
        </w:rPr>
        <w:t xml:space="preserve">If the employee is unresponsive within 48 hours, a remote corporate container wipe will be executed</w:t>
      </w:r>
    </w:p>
    <w:p>
      <w:pPr>
        <w:pStyle w:val="ListParagraph"/>
        <w:numPr>
          <w:ilvl w:val="0"/>
          <w:numId w:val="7"/>
        </w:numPr>
        <w:spacing w:after="60"/>
      </w:pPr>
      <w:r>
        <w:rPr>
          <w:rFonts w:ascii="Arial" w:cs="Arial" w:eastAsia="Arial" w:hAnsi="Arial"/>
          <w:color w:val="333333"/>
          <w:sz w:val="20"/>
          <w:szCs w:val="20"/>
        </w:rPr>
        <w:t xml:space="preserve">IT will document completion of the offboarding process</w:t>
      </w:r>
    </w:p>
    <w:p>
      <w:pPr>
        <w:pStyle w:val="ListParagraph"/>
        <w:numPr>
          <w:ilvl w:val="0"/>
          <w:numId w:val="7"/>
        </w:numPr>
        <w:spacing w:after="60"/>
      </w:pPr>
      <w:r>
        <w:rPr>
          <w:rFonts w:ascii="Arial" w:cs="Arial" w:eastAsia="Arial" w:hAnsi="Arial"/>
          <w:color w:val="333333"/>
          <w:sz w:val="20"/>
          <w:szCs w:val="20"/>
        </w:rPr>
        <w:t xml:space="preserve">Access logs for the 90 days prior to separation will be preserved per retention policy</w:t>
      </w:r>
    </w:p>
    <w:p>
      <w:pPr>
        <w:pStyle w:val="Heading1"/>
        <w:spacing w:before="360" w:after="120"/>
      </w:pPr>
      <w:r>
        <w:rPr>
          <w:rFonts w:ascii="Arial" w:cs="Arial" w:eastAsia="Arial" w:hAnsi="Arial"/>
          <w:b/>
          <w:bCs/>
          <w:color w:val="1B3A5C"/>
          <w:sz w:val="28"/>
          <w:szCs w:val="28"/>
        </w:rPr>
        <w:t xml:space="preserve">12. Cyber Insurance Considerations</w:t>
      </w:r>
    </w:p>
    <w:p>
      <w:pPr>
        <w:spacing w:after="120"/>
      </w:pPr>
      <w:r>
        <w:rPr>
          <w:rFonts w:ascii="Arial" w:cs="Arial" w:eastAsia="Arial" w:hAnsi="Arial"/>
          <w:color w:val="333333"/>
          <w:sz w:val="20"/>
          <w:szCs w:val="20"/>
        </w:rPr>
        <w:t xml:space="preserve">BYOD practices directly impact your organization’s cyber risk profile and insurance coverage. This policy supports compliance with common cyber insurance requirements:</w:t>
      </w:r>
    </w:p>
    <w:p>
      <w:pPr>
        <w:pStyle w:val="ListParagraph"/>
        <w:numPr>
          <w:ilvl w:val="0"/>
          <w:numId w:val="2"/>
        </w:numPr>
        <w:spacing w:after="60"/>
      </w:pPr>
      <w:r>
        <w:rPr>
          <w:rFonts w:ascii="Arial" w:cs="Arial" w:eastAsia="Arial" w:hAnsi="Arial"/>
          <w:b/>
          <w:bCs/>
          <w:color w:val="333333"/>
          <w:sz w:val="20"/>
          <w:szCs w:val="20"/>
        </w:rPr>
        <w:t xml:space="preserve">Endpoint Protection: </w:t>
      </w:r>
      <w:r>
        <w:rPr>
          <w:rFonts w:ascii="Arial" w:cs="Arial" w:eastAsia="Arial" w:hAnsi="Arial"/>
          <w:color w:val="333333"/>
          <w:sz w:val="20"/>
          <w:szCs w:val="20"/>
        </w:rPr>
        <w:t xml:space="preserve">Carriers require that all devices accessing corporate data have current security software.</w:t>
      </w:r>
    </w:p>
    <w:p>
      <w:pPr>
        <w:pStyle w:val="ListParagraph"/>
        <w:numPr>
          <w:ilvl w:val="0"/>
          <w:numId w:val="2"/>
        </w:numPr>
        <w:spacing w:after="60"/>
      </w:pPr>
      <w:r>
        <w:rPr>
          <w:rFonts w:ascii="Arial" w:cs="Arial" w:eastAsia="Arial" w:hAnsi="Arial"/>
          <w:b/>
          <w:bCs/>
          <w:color w:val="333333"/>
          <w:sz w:val="20"/>
          <w:szCs w:val="20"/>
        </w:rPr>
        <w:t xml:space="preserve">MFA Enforcement: </w:t>
      </w:r>
      <w:r>
        <w:rPr>
          <w:rFonts w:ascii="Arial" w:cs="Arial" w:eastAsia="Arial" w:hAnsi="Arial"/>
          <w:color w:val="333333"/>
          <w:sz w:val="20"/>
          <w:szCs w:val="20"/>
        </w:rPr>
        <w:t xml:space="preserve">Multi-factor authentication on all remote access points is a standard underwriting requirement.</w:t>
      </w:r>
    </w:p>
    <w:p>
      <w:pPr>
        <w:pStyle w:val="ListParagraph"/>
        <w:numPr>
          <w:ilvl w:val="0"/>
          <w:numId w:val="2"/>
        </w:numPr>
        <w:spacing w:after="60"/>
      </w:pPr>
      <w:r>
        <w:rPr>
          <w:rFonts w:ascii="Arial" w:cs="Arial" w:eastAsia="Arial" w:hAnsi="Arial"/>
          <w:b/>
          <w:bCs/>
          <w:color w:val="333333"/>
          <w:sz w:val="20"/>
          <w:szCs w:val="20"/>
        </w:rPr>
        <w:t xml:space="preserve">Remote Wipe Capability: </w:t>
      </w:r>
      <w:r>
        <w:rPr>
          <w:rFonts w:ascii="Arial" w:cs="Arial" w:eastAsia="Arial" w:hAnsi="Arial"/>
          <w:color w:val="333333"/>
          <w:sz w:val="20"/>
          <w:szCs w:val="20"/>
        </w:rPr>
        <w:t xml:space="preserve">The ability to remotely wipe corporate data from lost or stolen devices is a frequently evaluated control.</w:t>
      </w:r>
    </w:p>
    <w:p>
      <w:pPr>
        <w:pStyle w:val="ListParagraph"/>
        <w:numPr>
          <w:ilvl w:val="0"/>
          <w:numId w:val="2"/>
        </w:numPr>
        <w:spacing w:after="60"/>
      </w:pPr>
      <w:r>
        <w:rPr>
          <w:rFonts w:ascii="Arial" w:cs="Arial" w:eastAsia="Arial" w:hAnsi="Arial"/>
          <w:b/>
          <w:bCs/>
          <w:color w:val="333333"/>
          <w:sz w:val="20"/>
          <w:szCs w:val="20"/>
        </w:rPr>
        <w:t xml:space="preserve">Encryption: </w:t>
      </w:r>
      <w:r>
        <w:rPr>
          <w:rFonts w:ascii="Arial" w:cs="Arial" w:eastAsia="Arial" w:hAnsi="Arial"/>
          <w:color w:val="333333"/>
          <w:sz w:val="20"/>
          <w:szCs w:val="20"/>
        </w:rPr>
        <w:t xml:space="preserve">Full-device encryption on all endpoints is a baseline requirement for most cyber policies.</w:t>
      </w:r>
    </w:p>
    <w:p>
      <w:pPr>
        <w:pStyle w:val="ListParagraph"/>
        <w:numPr>
          <w:ilvl w:val="0"/>
          <w:numId w:val="2"/>
        </w:numPr>
        <w:spacing w:after="60"/>
      </w:pPr>
      <w:r>
        <w:rPr>
          <w:rFonts w:ascii="Arial" w:cs="Arial" w:eastAsia="Arial" w:hAnsi="Arial"/>
          <w:b/>
          <w:bCs/>
          <w:color w:val="333333"/>
          <w:sz w:val="20"/>
          <w:szCs w:val="20"/>
        </w:rPr>
        <w:t xml:space="preserve">Incident Reporting: </w:t>
      </w:r>
      <w:r>
        <w:rPr>
          <w:rFonts w:ascii="Arial" w:cs="Arial" w:eastAsia="Arial" w:hAnsi="Arial"/>
          <w:color w:val="333333"/>
          <w:sz w:val="20"/>
          <w:szCs w:val="20"/>
        </w:rPr>
        <w:t xml:space="preserve">Timely reporting of lost/stolen devices and potential data exposure supports the claims process.</w:t>
      </w:r>
    </w:p>
    <w:p>
      <w:pPr>
        <w:pStyle w:val="ListParagraph"/>
        <w:numPr>
          <w:ilvl w:val="0"/>
          <w:numId w:val="2"/>
        </w:numPr>
        <w:spacing w:after="60"/>
      </w:pPr>
      <w:r>
        <w:rPr>
          <w:rFonts w:ascii="Arial" w:cs="Arial" w:eastAsia="Arial" w:hAnsi="Arial"/>
          <w:b/>
          <w:bCs/>
          <w:color w:val="333333"/>
          <w:sz w:val="20"/>
          <w:szCs w:val="20"/>
        </w:rPr>
        <w:t xml:space="preserve">Employee Training: </w:t>
      </w:r>
      <w:r>
        <w:rPr>
          <w:rFonts w:ascii="Arial" w:cs="Arial" w:eastAsia="Arial" w:hAnsi="Arial"/>
          <w:color w:val="333333"/>
          <w:sz w:val="20"/>
          <w:szCs w:val="20"/>
        </w:rPr>
        <w:t xml:space="preserve">Documented security awareness training for all BYOD users demonstrates due diligence.</w:t>
      </w:r>
    </w:p>
    <w:p>
      <w:pPr>
        <w:spacing w:after="120"/>
      </w:pPr>
      <w:r>
        <w:rPr>
          <w:rFonts w:ascii="Arial" w:cs="Arial" w:eastAsia="Arial" w:hAnsi="Arial"/>
          <w:color w:val="333333"/>
          <w:sz w:val="20"/>
          <w:szCs w:val="20"/>
        </w:rPr>
        <w:t xml:space="preserve">Review this policy with your cyber insurance broker at each renewal to confirm alignment with carrier expectations. Contact First Underwriters at (425) 242-5357 for guidance.</w:t>
      </w:r>
    </w:p>
    <w:p>
      <w:r>
        <w:br w:type="page"/>
      </w:r>
    </w:p>
    <w:p>
      <w:pPr>
        <w:pStyle w:val="Heading1"/>
        <w:spacing w:before="360" w:after="120"/>
      </w:pPr>
      <w:r>
        <w:rPr>
          <w:rFonts w:ascii="Arial" w:cs="Arial" w:eastAsia="Arial" w:hAnsi="Arial"/>
          <w:b/>
          <w:bCs/>
          <w:color w:val="1B3A5C"/>
          <w:sz w:val="28"/>
          <w:szCs w:val="28"/>
        </w:rPr>
        <w:t xml:space="preserve">Appendix A: BYOD User Agreement</w:t>
      </w:r>
    </w:p>
    <w:p>
      <w:pPr>
        <w:spacing w:after="120"/>
      </w:pPr>
      <w:r>
        <w:rPr>
          <w:rFonts w:ascii="Arial" w:cs="Arial" w:eastAsia="Arial" w:hAnsi="Arial"/>
          <w:color w:val="333333"/>
          <w:sz w:val="20"/>
          <w:szCs w:val="20"/>
        </w:rPr>
        <w:t xml:space="preserve">By signing this agreement, I acknowledge that I have read, understand, and agree to comply with [Organization Name]’s Bring Your Own Device (BYOD) Policy. I understand the following:</w:t>
      </w:r>
    </w:p>
    <w:p>
      <w:pPr>
        <w:spacing w:after="40"/>
      </w:pPr>
    </w:p>
    <w:p>
      <w:pPr>
        <w:pStyle w:val="ListParagraph"/>
        <w:numPr>
          <w:ilvl w:val="0"/>
          <w:numId w:val="8"/>
        </w:numPr>
        <w:spacing w:after="60"/>
      </w:pPr>
      <w:r>
        <w:rPr>
          <w:rFonts w:ascii="Arial" w:cs="Arial" w:eastAsia="Arial" w:hAnsi="Arial"/>
          <w:color w:val="333333"/>
          <w:sz w:val="20"/>
          <w:szCs w:val="20"/>
        </w:rPr>
        <w:t xml:space="preserve">I will comply with all security requirements outlined in the BYOD Policy at all times.</w:t>
      </w:r>
    </w:p>
    <w:p>
      <w:pPr>
        <w:pStyle w:val="ListParagraph"/>
        <w:numPr>
          <w:ilvl w:val="0"/>
          <w:numId w:val="8"/>
        </w:numPr>
        <w:spacing w:after="60"/>
      </w:pPr>
      <w:r>
        <w:rPr>
          <w:rFonts w:ascii="Arial" w:cs="Arial" w:eastAsia="Arial" w:hAnsi="Arial"/>
          <w:color w:val="333333"/>
          <w:sz w:val="20"/>
          <w:szCs w:val="20"/>
        </w:rPr>
        <w:t xml:space="preserve">I consent to the installation of Mobile Device Management (MDM) software on my personal device.</w:t>
      </w:r>
    </w:p>
    <w:p>
      <w:pPr>
        <w:pStyle w:val="ListParagraph"/>
        <w:numPr>
          <w:ilvl w:val="0"/>
          <w:numId w:val="8"/>
        </w:numPr>
        <w:spacing w:after="60"/>
      </w:pPr>
      <w:r>
        <w:rPr>
          <w:rFonts w:ascii="Arial" w:cs="Arial" w:eastAsia="Arial" w:hAnsi="Arial"/>
          <w:color w:val="333333"/>
          <w:sz w:val="20"/>
          <w:szCs w:val="20"/>
        </w:rPr>
        <w:t xml:space="preserve">I understand that the organization may remotely wipe corporate data from my device at any time.</w:t>
      </w:r>
    </w:p>
    <w:p>
      <w:pPr>
        <w:pStyle w:val="ListParagraph"/>
        <w:numPr>
          <w:ilvl w:val="0"/>
          <w:numId w:val="8"/>
        </w:numPr>
        <w:spacing w:after="60"/>
      </w:pPr>
      <w:r>
        <w:rPr>
          <w:rFonts w:ascii="Arial" w:cs="Arial" w:eastAsia="Arial" w:hAnsi="Arial"/>
          <w:color w:val="333333"/>
          <w:sz w:val="20"/>
          <w:szCs w:val="20"/>
        </w:rPr>
        <w:t xml:space="preserve">I will immediately report any lost, stolen, or compromised device to IT.</w:t>
      </w:r>
    </w:p>
    <w:p>
      <w:pPr>
        <w:pStyle w:val="ListParagraph"/>
        <w:numPr>
          <w:ilvl w:val="0"/>
          <w:numId w:val="8"/>
        </w:numPr>
        <w:spacing w:after="60"/>
      </w:pPr>
      <w:r>
        <w:rPr>
          <w:rFonts w:ascii="Arial" w:cs="Arial" w:eastAsia="Arial" w:hAnsi="Arial"/>
          <w:color w:val="333333"/>
          <w:sz w:val="20"/>
          <w:szCs w:val="20"/>
        </w:rPr>
        <w:t xml:space="preserve">I understand that violations of this policy may result in loss of BYOD privileges and disciplinary action.</w:t>
      </w:r>
    </w:p>
    <w:p>
      <w:pPr>
        <w:pStyle w:val="ListParagraph"/>
        <w:numPr>
          <w:ilvl w:val="0"/>
          <w:numId w:val="8"/>
        </w:numPr>
        <w:spacing w:after="60"/>
      </w:pPr>
      <w:r>
        <w:rPr>
          <w:rFonts w:ascii="Arial" w:cs="Arial" w:eastAsia="Arial" w:hAnsi="Arial"/>
          <w:color w:val="333333"/>
          <w:sz w:val="20"/>
          <w:szCs w:val="20"/>
        </w:rPr>
        <w:t xml:space="preserve">I will cooperate with device de-enrollment upon separation from the organization.</w:t>
      </w:r>
    </w:p>
    <w:p>
      <w:pPr>
        <w:pStyle w:val="ListParagraph"/>
        <w:numPr>
          <w:ilvl w:val="0"/>
          <w:numId w:val="8"/>
        </w:numPr>
        <w:spacing w:after="60"/>
      </w:pPr>
      <w:r>
        <w:rPr>
          <w:rFonts w:ascii="Arial" w:cs="Arial" w:eastAsia="Arial" w:hAnsi="Arial"/>
          <w:color w:val="333333"/>
          <w:sz w:val="20"/>
          <w:szCs w:val="20"/>
        </w:rPr>
        <w:t xml:space="preserve">I understand the organization is not responsible for my personal data, applications, or device.</w:t>
      </w:r>
    </w:p>
    <w:p>
      <w:pPr>
        <w:pStyle w:val="ListParagraph"/>
        <w:numPr>
          <w:ilvl w:val="0"/>
          <w:numId w:val="8"/>
        </w:numPr>
        <w:spacing w:after="60"/>
      </w:pPr>
      <w:r>
        <w:rPr>
          <w:rFonts w:ascii="Arial" w:cs="Arial" w:eastAsia="Arial" w:hAnsi="Arial"/>
          <w:color w:val="333333"/>
          <w:sz w:val="20"/>
          <w:szCs w:val="20"/>
        </w:rPr>
        <w:t xml:space="preserve">I agree to return or confirm deletion of all corporate data upon request or separation.</w:t>
      </w:r>
    </w:p>
    <w:p>
      <w:pPr>
        <w:spacing w:after="8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2340"/>
        <w:gridCol w:w="2340"/>
        <w:gridCol w:w="2340"/>
        <w:gridCol w:w="2340"/>
      </w:tblGrid>
      <w:tr>
        <w:tc>
          <w:tcPr>
            <w:tcW w:type="dxa" w:w="234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Name</w:t>
            </w:r>
          </w:p>
        </w:tc>
        <w:tc>
          <w:tcPr>
            <w:tcW w:type="dxa" w:w="234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Title / Department</w:t>
            </w:r>
          </w:p>
        </w:tc>
        <w:tc>
          <w:tcPr>
            <w:tcW w:type="dxa" w:w="234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Signature</w:t>
            </w:r>
          </w:p>
        </w:tc>
        <w:tc>
          <w:tcPr>
            <w:tcW w:type="dxa" w:w="234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Date</w:t>
            </w:r>
          </w:p>
        </w:tc>
      </w:tr>
      <w:tr>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200" w:after="200"/>
            </w:pPr>
          </w:p>
        </w:tc>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200" w:after="200"/>
            </w:pPr>
          </w:p>
        </w:tc>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200" w:after="200"/>
            </w:pPr>
          </w:p>
        </w:tc>
        <w:tc>
          <w:tcPr>
            <w:tcW w:type="dxa" w:w="234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200" w:after="200"/>
            </w:pPr>
          </w:p>
        </w:tc>
      </w:tr>
      <w:tr>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pPr>
              <w:spacing w:before="200" w:after="200"/>
            </w:pPr>
          </w:p>
        </w:tc>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pPr>
              <w:spacing w:before="200" w:after="200"/>
            </w:pPr>
          </w:p>
        </w:tc>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pPr>
              <w:spacing w:before="200" w:after="200"/>
            </w:pPr>
          </w:p>
        </w:tc>
        <w:tc>
          <w:tcPr>
            <w:tcW w:type="dxa" w:w="2340"/>
            <w:tcBorders>
              <w:top w:val="single" w:color="CCCCCC" w:sz="1"/>
              <w:left w:val="single" w:color="CCCCCC" w:sz="1"/>
              <w:bottom w:val="single" w:color="CCCCCC" w:sz="1"/>
              <w:right w:val="single" w:color="CCCCCC" w:sz="1"/>
            </w:tcBorders>
            <w:tcMar>
              <w:top w:type="dxa" w:w="80"/>
              <w:left w:type="dxa" w:w="120"/>
              <w:bottom w:type="dxa" w:w="80"/>
              <w:right w:type="dxa" w:w="120"/>
            </w:tcMar>
          </w:tcPr>
          <w:p>
            <w:pPr>
              <w:spacing w:before="200" w:after="200"/>
            </w:pPr>
          </w:p>
        </w:tc>
      </w:tr>
    </w:tbl>
    <w:p>
      <w:pPr>
        <w:spacing w:after="80"/>
      </w:pPr>
    </w:p>
    <w:p>
      <w:pPr>
        <w:spacing w:after="40"/>
      </w:pPr>
      <w:r>
        <w:rPr>
          <w:rFonts w:ascii="Arial" w:cs="Arial" w:eastAsia="Arial" w:hAnsi="Arial"/>
          <w:b/>
          <w:bCs/>
          <w:color w:val="1B3A5C"/>
          <w:sz w:val="22"/>
          <w:szCs w:val="22"/>
        </w:rPr>
        <w:t xml:space="preserve">IT Verification</w:t>
      </w: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3120"/>
        <w:gridCol w:w="3120"/>
        <w:gridCol w:w="3120"/>
      </w:tblGrid>
      <w:tr>
        <w:tc>
          <w:tcPr>
            <w:tcW w:type="dxa" w:w="312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IT Representative</w:t>
            </w:r>
          </w:p>
        </w:tc>
        <w:tc>
          <w:tcPr>
            <w:tcW w:type="dxa" w:w="312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Device Verified</w:t>
            </w:r>
          </w:p>
        </w:tc>
        <w:tc>
          <w:tcPr>
            <w:tcW w:type="dxa" w:w="3120"/>
            <w:tcBorders>
              <w:top w:val="single" w:color="CCCCCC" w:sz="1"/>
              <w:left w:val="single" w:color="CCCCCC" w:sz="1"/>
              <w:bottom w:val="single" w:color="CCCCCC" w:sz="1"/>
              <w:right w:val="single" w:color="CCCCCC" w:sz="1"/>
            </w:tcBorders>
            <w:shd w:fill="1B3A5C" w:val="clear"/>
            <w:tcMar>
              <w:top w:type="dxa" w:w="80"/>
              <w:left w:type="dxa" w:w="120"/>
              <w:bottom w:type="dxa" w:w="80"/>
              <w:right w:type="dxa" w:w="120"/>
            </w:tcMar>
            <w:vAlign w:val="center"/>
          </w:tcPr>
          <w:p>
            <w:pPr>
              <w:jc w:val="left"/>
            </w:pPr>
            <w:r>
              <w:rPr>
                <w:rFonts w:ascii="Arial" w:cs="Arial" w:eastAsia="Arial" w:hAnsi="Arial"/>
                <w:b/>
                <w:bCs/>
                <w:color w:val="FFFFFF"/>
                <w:sz w:val="20"/>
                <w:szCs w:val="20"/>
              </w:rPr>
              <w:t xml:space="preserve">Date Enrolled</w:t>
            </w:r>
          </w:p>
        </w:tc>
      </w:tr>
      <w:tr>
        <w:tc>
          <w:tcPr>
            <w:tcW w:type="dxa" w:w="312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200" w:after="200"/>
            </w:pPr>
          </w:p>
        </w:tc>
        <w:tc>
          <w:tcPr>
            <w:tcW w:type="dxa" w:w="312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200" w:after="200"/>
            </w:pPr>
          </w:p>
        </w:tc>
        <w:tc>
          <w:tcPr>
            <w:tcW w:type="dxa" w:w="3120"/>
            <w:tcBorders>
              <w:top w:val="single" w:color="CCCCCC" w:sz="1"/>
              <w:left w:val="single" w:color="CCCCCC" w:sz="1"/>
              <w:bottom w:val="single" w:color="CCCCCC" w:sz="1"/>
              <w:right w:val="single" w:color="CCCCCC" w:sz="1"/>
            </w:tcBorders>
            <w:shd w:fill="EBF1F8" w:val="clear"/>
            <w:tcMar>
              <w:top w:type="dxa" w:w="80"/>
              <w:left w:type="dxa" w:w="120"/>
              <w:bottom w:type="dxa" w:w="80"/>
              <w:right w:type="dxa" w:w="120"/>
            </w:tcMar>
          </w:tcPr>
          <w:p>
            <w:pPr>
              <w:spacing w:before="200" w:after="200"/>
            </w:pPr>
          </w:p>
        </w:tc>
      </w:tr>
    </w:tbl>
    <w:p>
      <w:pPr>
        <w:spacing w:after="200"/>
      </w:pPr>
    </w:p>
    <w:p>
      <w:pPr>
        <w:spacing w:before="200" w:after="80"/>
      </w:pPr>
      <w:r>
        <w:rPr>
          <w:rFonts w:ascii="Arial" w:cs="Arial" w:eastAsia="Arial" w:hAnsi="Arial"/>
          <w:b/>
          <w:bCs/>
          <w:color w:val="1B3A5C"/>
          <w:sz w:val="18"/>
          <w:szCs w:val="18"/>
        </w:rPr>
        <w:t xml:space="preserve">Disclaimer</w:t>
      </w:r>
    </w:p>
    <w:p>
      <w:pPr>
        <w:spacing w:after="80"/>
      </w:pPr>
      <w:r>
        <w:rPr>
          <w:rFonts w:ascii="Arial" w:cs="Arial" w:eastAsia="Arial" w:hAnsi="Arial"/>
          <w:color w:val="666666"/>
          <w:sz w:val="16"/>
          <w:szCs w:val="16"/>
        </w:rPr>
        <w:t xml:space="preserve">This template is provided by First Underwriters Insurance Brokers as a complimentary resource for informational and risk management purposes only. It does not constitute legal, technical, or professional advice. Every organization’s technology environment, regulatory obligations, and risk profile are unique; this template should be customized by legal counsel and IT leadership. Completion of this template does not guarantee insurance coverage or claim approval. Consult with your IT provider, legal counsel, and insurance broker.</w:t>
      </w:r>
    </w:p>
    <w:p>
      <w:pPr>
        <w:spacing w:before="200" w:after="40"/>
        <w:jc w:val="center"/>
      </w:pPr>
      <w:r>
        <w:rPr>
          <w:rFonts w:ascii="Arial" w:cs="Arial" w:eastAsia="Arial" w:hAnsi="Arial"/>
          <w:b/>
          <w:bCs/>
          <w:color w:val="1B3A5C"/>
          <w:sz w:val="20"/>
          <w:szCs w:val="20"/>
        </w:rPr>
        <w:t xml:space="preserve">First Underwriters Insurance Brokers</w:t>
      </w:r>
    </w:p>
    <w:p>
      <w:pPr>
        <w:jc w:val="center"/>
      </w:pPr>
      <w:r>
        <w:rPr>
          <w:rFonts w:ascii="Arial" w:cs="Arial" w:eastAsia="Arial" w:hAnsi="Arial"/>
          <w:color w:val="666666"/>
          <w:sz w:val="16"/>
          <w:szCs w:val="16"/>
        </w:rPr>
        <w:t xml:space="preserve">4055 Lake Washington Blvd NE, Suite 100, Kirkland, WA 98033  |  (425) 242-5357  |  firstunderwriters.com</w:t>
      </w:r>
    </w:p>
    <w:sectPr>
      <w:headerReference w:type="default" r:id="rId6"/>
      <w:footerReference w:type="default" r:id="rId7"/>
      <w:pgSz w:w="12240" w:h="15840"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w:p>
    <w:pPr>
      <w:pBdr>
        <w:top w:val="single" w:color="CCCCCC" w:sz="1"/>
      </w:pBdr>
      <w:spacing w:before="100"/>
    </w:pPr>
  </w:p>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500"/>
      <w:gridCol w:w="3860"/>
    </w:tblGrid>
    <w:tr>
      <w:tc>
        <w:tcPr>
          <w:tcW w:type="dxa" w:w="5500"/>
          <w:tcBorders>
            <w:top w:val="none" w:sz="0"/>
            <w:left w:val="none" w:sz="0"/>
            <w:bottom w:val="none" w:sz="0"/>
            <w:right w:val="none" w:sz="0"/>
          </w:tcBorders>
        </w:tcPr>
        <w:p>
          <w:r>
            <w:rPr>
              <w:rFonts w:ascii="Arial" w:cs="Arial" w:eastAsia="Arial" w:hAnsi="Arial"/>
              <w:color w:val="666666"/>
              <w:sz w:val="14"/>
              <w:szCs w:val="14"/>
            </w:rPr>
            <w:t xml:space="preserve">© First Underwriters Insurance Brokers  |  (425) 242-5357  |  firstunderwriters.com</w:t>
          </w:r>
        </w:p>
      </w:tc>
      <w:tc>
        <w:tcPr>
          <w:tcW w:type="dxa" w:w="3860"/>
          <w:tcBorders>
            <w:top w:val="none" w:sz="0"/>
            <w:left w:val="none" w:sz="0"/>
            <w:bottom w:val="none" w:sz="0"/>
            <w:right w:val="none" w:sz="0"/>
          </w:tcBorders>
        </w:tcPr>
        <w:p>
          <w:pPr>
            <w:jc w:val="right"/>
          </w:pPr>
          <w:r>
            <w:rPr>
              <w:rFonts w:ascii="Arial" w:cs="Arial" w:eastAsia="Arial" w:hAnsi="Arial"/>
              <w:color w:val="666666"/>
              <w:sz w:val="14"/>
              <w:szCs w:val="14"/>
            </w:rPr>
            <w:t xml:space="preserve">Page </w:t>
          </w:r>
          <w:r>
            <w:rPr>
              <w:rFonts w:ascii="Arial" w:cs="Arial" w:eastAsia="Arial" w:hAnsi="Arial"/>
              <w:color w:val="666666"/>
              <w:sz w:val="14"/>
              <w:szCs w:val="14"/>
            </w:rPr>
            <w:fldChar w:fldCharType="begin"/>
            <w:instrText xml:space="preserve">PAGE</w:instrText>
            <w:fldChar w:fldCharType="separate"/>
            <w:fldChar w:fldCharType="end"/>
          </w:r>
        </w:p>
      </w:tc>
    </w:tr>
  </w:tbl>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w16cid="http://schemas.microsoft.com/office/word/2016/wordml/cid" xmlns:w16se="http://schemas.microsoft.com/office/word/2015/wordml/symex">
  <w:tbl>
    <w:tblPr>
      <w:tblW w:type="dxa" w:w="9360"/>
      <w:tblBorders>
        <w:top w:val="single" w:color="auto" w:sz="4"/>
        <w:left w:val="single" w:color="auto" w:sz="4"/>
        <w:bottom w:val="single" w:color="auto" w:sz="4"/>
        <w:right w:val="single" w:color="auto" w:sz="4"/>
        <w:insideH w:val="single" w:color="auto" w:sz="4"/>
        <w:insideV w:val="single" w:color="auto" w:sz="4"/>
      </w:tblBorders>
    </w:tblPr>
    <w:tblGrid>
      <w:gridCol w:w="5500"/>
      <w:gridCol w:w="3860"/>
    </w:tblGrid>
    <w:tr>
      <w:tc>
        <w:tcPr>
          <w:tcW w:type="dxa" w:w="5500"/>
          <w:tcBorders>
            <w:top w:val="none" w:sz="0"/>
            <w:left w:val="none" w:sz="0"/>
            <w:bottom w:val="none" w:sz="0"/>
            <w:right w:val="none" w:sz="0"/>
          </w:tcBorders>
        </w:tcPr>
        <w:p>
          <w:r>
            <w:rPr>
              <w:rFonts w:ascii="Arial" w:cs="Arial" w:eastAsia="Arial" w:hAnsi="Arial"/>
              <w:b/>
              <w:bCs/>
              <w:color w:val="1B3A5C"/>
              <w:sz w:val="18"/>
              <w:szCs w:val="18"/>
            </w:rPr>
            <w:t xml:space="preserve">First Underwriters Insurance Brokers</w:t>
          </w:r>
        </w:p>
      </w:tc>
      <w:tc>
        <w:tcPr>
          <w:tcW w:type="dxa" w:w="3860"/>
          <w:tcBorders>
            <w:top w:val="none" w:sz="0"/>
            <w:left w:val="none" w:sz="0"/>
            <w:bottom w:val="none" w:sz="0"/>
            <w:right w:val="none" w:sz="0"/>
          </w:tcBorders>
        </w:tcPr>
        <w:p>
          <w:pPr>
            <w:jc w:val="right"/>
          </w:pPr>
          <w:r>
            <w:rPr>
              <w:rFonts w:ascii="Arial" w:cs="Arial" w:eastAsia="Arial" w:hAnsi="Arial"/>
              <w:color w:val="2E75B6"/>
              <w:sz w:val="16"/>
              <w:szCs w:val="16"/>
            </w:rPr>
            <w:t xml:space="preserve">BYOD Policy Template</w:t>
          </w:r>
        </w:p>
      </w:tc>
    </w:tr>
  </w:tbl>
  <w:p>
    <w:pPr>
      <w:pBdr>
        <w:bottom w:val="single" w:color="2E75B6" w:sz="2"/>
      </w:pBd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bullet"/>
      <w:lvlText w:val="•"/>
      <w:lvlJc w:val="left"/>
      <w:pPr>
        <w:ind w:left="720" w:hanging="360"/>
      </w:pPr>
    </w:lvl>
  </w:abstractNum>
  <w:abstractNum w:abstractNumId="3" w15:restartNumberingAfterBreak="0">
    <w:multiLevelType w:val="hybridMultilevel"/>
    <w:lvl w:ilvl="0" w15:tentative="1">
      <w:start w:val="1"/>
      <w:numFmt w:val="bullet"/>
      <w:lvlText w:val="◦"/>
      <w:lvlJc w:val="left"/>
      <w:pPr>
        <w:ind w:left="1080" w:hanging="360"/>
      </w:pPr>
    </w:lvl>
  </w:abstractNum>
  <w:abstractNum w:abstractNumId="4" w15:restartNumberingAfterBreak="0">
    <w:multiLevelType w:val="hybridMultilevel"/>
    <w:lvl w:ilvl="0" w15:tentative="1">
      <w:start w:val="1"/>
      <w:numFmt w:val="decimal"/>
      <w:lvlText w:val="%1."/>
      <w:lvlJc w:val="left"/>
      <w:pPr>
        <w:ind w:left="720" w:hanging="360"/>
      </w:pPr>
    </w:lvl>
  </w:abstractNum>
  <w:abstractNum w:abstractNumId="5" w15:restartNumberingAfterBreak="0">
    <w:multiLevelType w:val="hybridMultilevel"/>
    <w:lvl w:ilvl="0" w15:tentative="1">
      <w:start w:val="1"/>
      <w:numFmt w:val="decimal"/>
      <w:lvlText w:val="%1."/>
      <w:lvlJc w:val="left"/>
      <w:pPr>
        <w:ind w:left="720" w:hanging="360"/>
      </w:pPr>
    </w:lvl>
  </w:abstractNum>
  <w:abstractNum w:abstractNumId="6" w15:restartNumberingAfterBreak="0">
    <w:multiLevelType w:val="hybridMultilevel"/>
    <w:lvl w:ilvl="0" w15:tentative="1">
      <w:start w:val="1"/>
      <w:numFmt w:val="decimal"/>
      <w:lvlText w:val="%1."/>
      <w:lvlJc w:val="left"/>
      <w:pPr>
        <w:ind w:left="720" w:hanging="360"/>
      </w:pPr>
    </w:lvl>
  </w:abstractNum>
  <w:abstractNum w:abstractNumId="7" w15:restartNumberingAfterBreak="0">
    <w:multiLevelType w:val="hybridMultilevel"/>
    <w:lvl w:ilvl="0" w15:tentative="1">
      <w:start w:val="1"/>
      <w:numFmt w:val="decimal"/>
      <w:lvlText w:val="%1."/>
      <w:lvlJc w:val="left"/>
      <w:pPr>
        <w:ind w:left="720" w:hanging="360"/>
      </w:pPr>
    </w:lvl>
  </w:abstractNum>
  <w:abstractNum w:abstractNumId="8" w15:restartNumberingAfterBreak="0">
    <w:multiLevelType w:val="hybridMultilevel"/>
    <w:lvl w:ilvl="0" w15:tentative="1">
      <w:start w:val="1"/>
      <w:numFmt w:val="decimal"/>
      <w:lvlText w:val="%1."/>
      <w:lvlJc w:val="left"/>
      <w:pPr>
        <w:ind w:left="720" w:hanging="360"/>
      </w:pPr>
    </w:lvl>
  </w:abstractNum>
  <w:abstractNum w:abstractNumId="9" w15:restartNumberingAfterBreak="0">
    <w:multiLevelType w:val="hybridMultilevel"/>
    <w:lvl w:ilvl="0" w15:tentative="1">
      <w:start w:val="1"/>
      <w:numFmt w:val="decimal"/>
      <w:lvlText w:val="%1."/>
      <w:lvlJc w:val="left"/>
      <w:pPr>
        <w:ind w:left="720" w:hanging="360"/>
      </w:pPr>
    </w:lvl>
  </w:abstractNum>
  <w:abstractNum w:abstractNumId="10" w15:restartNumberingAfterBreak="0">
    <w:multiLevelType w:val="hybridMultilevel"/>
    <w:lvl w:ilvl="0" w15:tentative="1">
      <w:start w:val="1"/>
      <w:numFmt w:val="decimal"/>
      <w:lvlText w:val="%1."/>
      <w:lvlJc w:val="left"/>
      <w:pPr>
        <w:ind w:left="720" w:hanging="360"/>
      </w:pPr>
    </w:lvl>
  </w:abstractNum>
  <w:abstractNum w:abstractNumId="11" w15:restartNumberingAfterBreak="0">
    <w:multiLevelType w:val="hybridMultilevel"/>
    <w:lvl w:ilvl="0" w15:tentative="1">
      <w:start w:val="1"/>
      <w:numFmt w:val="decimal"/>
      <w:lvlText w:val="%1."/>
      <w:lvlJc w:val="left"/>
      <w:pPr>
        <w:ind w:left="720" w:hanging="360"/>
      </w:pPr>
    </w:lvl>
  </w:abstractNum>
  <w:abstractNum w:abstractNumId="12" w15:restartNumberingAfterBreak="0">
    <w:multiLevelType w:val="hybridMultilevel"/>
    <w:lvl w:ilvl="0" w15:tentative="1">
      <w:start w:val="1"/>
      <w:numFmt w:val="decimal"/>
      <w:lvlText w:val="%1."/>
      <w:lvlJc w:val="left"/>
      <w:pPr>
        <w:ind w:left="720" w:hanging="360"/>
      </w:pPr>
    </w:lvl>
  </w:abstractNum>
  <w:abstractNum w:abstractNumId="13" w15:restartNumberingAfterBreak="0">
    <w:multiLevelType w:val="hybridMultilevel"/>
    <w:lvl w:ilvl="0" w15:tentative="1">
      <w:start w:val="1"/>
      <w:numFmt w:val="decimal"/>
      <w:lvlText w:val="%1."/>
      <w:lvlJc w:val="left"/>
      <w:pPr>
        <w:ind w:left="720" w:hanging="360"/>
      </w:pPr>
    </w:lvl>
  </w:abstractNum>
  <w:abstractNum w:abstractNumId="14" w15:restartNumberingAfterBreak="0">
    <w:multiLevelType w:val="hybridMultilevel"/>
    <w:lvl w:ilvl="0" w15:tentative="1">
      <w:start w:val="1"/>
      <w:numFmt w:val="decimal"/>
      <w:lvlText w:val="%1."/>
      <w:lvlJc w:val="left"/>
      <w:pPr>
        <w:ind w:left="720" w:hanging="360"/>
      </w:pPr>
    </w:lvl>
  </w:abstractNum>
  <w:abstractNum w:abstractNumId="15" w15:restartNumberingAfterBreak="0">
    <w:multiLevelType w:val="hybridMultilevel"/>
    <w:lvl w:ilvl="0" w15:tentative="1">
      <w:start w:val="1"/>
      <w:numFmt w:val="decimal"/>
      <w:lvlText w:val="%1."/>
      <w:lvlJc w:val="left"/>
      <w:pPr>
        <w:ind w:left="720" w:hanging="360"/>
      </w:pPr>
    </w:lvl>
  </w:abstractNum>
  <w:abstractNum w:abstractNumId="16" w15:restartNumberingAfterBreak="0">
    <w:multiLevelType w:val="hybridMultilevel"/>
    <w:lvl w:ilvl="0" w15:tentative="1">
      <w:start w:val="1"/>
      <w:numFmt w:val="decimal"/>
      <w:lvlText w:val="%1."/>
      <w:lvlJc w:val="left"/>
      <w:pPr>
        <w:ind w:left="720" w:hanging="360"/>
      </w:pPr>
    </w:lvl>
  </w:abstractNum>
  <w:abstractNum w:abstractNumId="17" w15:restartNumberingAfterBreak="0">
    <w:multiLevelType w:val="hybridMultilevel"/>
    <w:lvl w:ilvl="0" w15:tentative="1">
      <w:start w:val="1"/>
      <w:numFmt w:val="decimal"/>
      <w:lvlText w:val="%1."/>
      <w:lvlJc w:val="left"/>
      <w:pPr>
        <w:ind w:left="720" w:hanging="360"/>
      </w:pPr>
    </w:lvl>
  </w:abstractNum>
  <w:abstractNum w:abstractNumId="18" w15:restartNumberingAfterBreak="0">
    <w:multiLevelType w:val="hybridMultilevel"/>
    <w:lvl w:ilvl="0" w15:tentative="1">
      <w:start w:val="1"/>
      <w:numFmt w:val="decimal"/>
      <w:lvlText w:val="%1."/>
      <w:lvlJc w:val="left"/>
      <w:pPr>
        <w:ind w:left="720" w:hanging="360"/>
      </w:pPr>
    </w:lvl>
  </w:abstractNum>
  <w:abstractNum w:abstractNumId="19" w15:restartNumberingAfterBreak="0">
    <w:multiLevelType w:val="hybridMultilevel"/>
    <w:lvl w:ilvl="0" w15:tentative="1">
      <w:start w:val="1"/>
      <w:numFmt w:val="lowerLetter"/>
      <w:lvlText w:val="%1."/>
      <w:lvlJc w:val="left"/>
      <w:pPr>
        <w:ind w:left="1080" w:hanging="360"/>
      </w:pPr>
    </w:lvl>
  </w:abstractNum>
  <w:abstractNum w:abstractNumId="20" w15:restartNumberingAfterBreak="0">
    <w:multiLevelType w:val="hybridMultilevel"/>
    <w:lvl w:ilvl="0" w15:tentative="1">
      <w:start w:val="1"/>
      <w:numFmt w:val="lowerLetter"/>
      <w:lvlText w:val="%1."/>
      <w:lvlJc w:val="left"/>
      <w:pPr>
        <w:ind w:left="1080" w:hanging="360"/>
      </w:pPr>
    </w:lvl>
  </w:abstractNum>
  <w:abstractNum w:abstractNumId="21" w15:restartNumberingAfterBreak="0">
    <w:multiLevelType w:val="hybridMultilevel"/>
    <w:lvl w:ilvl="0" w15:tentative="1">
      <w:start w:val="1"/>
      <w:numFmt w:val="lowerLetter"/>
      <w:lvlText w:val="%1."/>
      <w:lvlJc w:val="left"/>
      <w:pPr>
        <w:ind w:left="1080" w:hanging="360"/>
      </w:pPr>
    </w:lvl>
  </w:abstractNum>
  <w:abstractNum w:abstractNumId="22" w15:restartNumberingAfterBreak="0">
    <w:multiLevelType w:val="hybridMultilevel"/>
    <w:lvl w:ilvl="0" w15:tentative="1">
      <w:start w:val="1"/>
      <w:numFmt w:val="lowerLetter"/>
      <w:lvlText w:val="%1."/>
      <w:lvlJc w:val="left"/>
      <w:pPr>
        <w:ind w:left="1080" w:hanging="360"/>
      </w:pPr>
    </w:lvl>
  </w:abstractNum>
  <w:abstractNum w:abstractNumId="23" w15:restartNumberingAfterBreak="0">
    <w:multiLevelType w:val="hybridMultilevel"/>
    <w:lvl w:ilvl="0" w15:tentative="1">
      <w:start w:val="1"/>
      <w:numFmt w:val="lowerLetter"/>
      <w:lvlText w:val="%1."/>
      <w:lvlJc w:val="left"/>
      <w:pPr>
        <w:ind w:left="1080" w:hanging="360"/>
      </w:pPr>
    </w:lvl>
  </w:abstractNum>
  <w:abstractNum w:abstractNumId="24" w15:restartNumberingAfterBreak="0">
    <w:multiLevelType w:val="hybridMultilevel"/>
    <w:lvl w:ilvl="0" w15:tentative="1">
      <w:start w:val="1"/>
      <w:numFmt w:val="lowerLetter"/>
      <w:lvlText w:val="%1."/>
      <w:lvlJc w:val="left"/>
      <w:pPr>
        <w:ind w:left="1080" w:hanging="360"/>
      </w:pPr>
    </w:lvl>
  </w:abstractNum>
  <w:abstractNum w:abstractNumId="25" w15:restartNumberingAfterBreak="0">
    <w:multiLevelType w:val="hybridMultilevel"/>
    <w:lvl w:ilvl="0" w15:tentative="1">
      <w:start w:val="1"/>
      <w:numFmt w:val="lowerLetter"/>
      <w:lvlText w:val="%1."/>
      <w:lvlJc w:val="left"/>
      <w:pPr>
        <w:ind w:left="1080" w:hanging="360"/>
      </w:pPr>
    </w:lvl>
  </w:abstractNum>
  <w:abstractNum w:abstractNumId="26" w15:restartNumberingAfterBreak="0">
    <w:multiLevelType w:val="hybridMultilevel"/>
    <w:lvl w:ilvl="0" w15:tentative="1">
      <w:start w:val="1"/>
      <w:numFmt w:val="lowerLetter"/>
      <w:lvlText w:val="%1."/>
      <w:lvlJc w:val="left"/>
      <w:pPr>
        <w:ind w:left="1080" w:hanging="360"/>
      </w:pPr>
    </w:lvl>
  </w:abstractNum>
  <w:abstractNum w:abstractNumId="27" w15:restartNumberingAfterBreak="0">
    <w:multiLevelType w:val="hybridMultilevel"/>
    <w:lvl w:ilvl="0" w15:tentative="1">
      <w:start w:val="1"/>
      <w:numFmt w:val="lowerLetter"/>
      <w:lvlText w:val="%1."/>
      <w:lvlJc w:val="left"/>
      <w:pPr>
        <w:ind w:left="1080" w:hanging="360"/>
      </w:pPr>
    </w:lvl>
  </w:abstractNum>
  <w:abstractNum w:abstractNumId="28" w15:restartNumberingAfterBreak="0">
    <w:multiLevelType w:val="hybridMultilevel"/>
    <w:lvl w:ilvl="0" w15:tentative="1">
      <w:start w:val="1"/>
      <w:numFmt w:val="lowerLetter"/>
      <w:lvlText w:val="%1."/>
      <w:lvlJc w:val="left"/>
      <w:pPr>
        <w:ind w:left="1080" w:hanging="360"/>
      </w:pPr>
    </w:lvl>
  </w:abstractNum>
  <w:num w:numId="1">
    <w:abstractNumId w:val="1"/>
    <w:lvlOverride w:ilvl="0">
      <w:startOverride w:val="1"/>
    </w:lvlOverride>
  </w:num>
  <w:num w:numId="2">
    <w:abstractNumId w:val="2"/>
    <w:lvlOverride w:ilvl="0">
      <w:startOverride w:val="1"/>
    </w:lvlOverride>
  </w:num>
  <w:num w:numId="3">
    <w:abstractNumId w:val="4"/>
    <w:lvlOverride w:ilvl="0">
      <w:startOverride w:val="1"/>
    </w:lvlOverride>
  </w:num>
  <w:num w:numId="4">
    <w:abstractNumId w:val="5"/>
    <w:lvlOverride w:ilvl="0">
      <w:startOverride w:val="1"/>
    </w:lvlOverride>
  </w:num>
  <w:num w:numId="5">
    <w:abstractNumId w:val="6"/>
    <w:lvlOverride w:ilvl="0">
      <w:startOverride w:val="1"/>
    </w:lvlOverride>
  </w:num>
  <w:num w:numId="6">
    <w:abstractNumId w:val="7"/>
    <w:lvlOverride w:ilvl="0">
      <w:startOverride w:val="1"/>
    </w:lvlOverride>
  </w:num>
  <w:num w:numId="7">
    <w:abstractNumId w:val="8"/>
    <w:lvlOverride w:ilvl="0">
      <w:startOverride w:val="1"/>
    </w:lvlOverride>
  </w:num>
  <w:num w:numId="8">
    <w:abstractNumId w:val="9"/>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uri="http://schemas.microsoft.com/office/word" w:name="compatibilityMode"/>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cs="Arial" w:eastAsia="Arial" w:hAnsi="Arial"/>
        <w:color w:val="333333"/>
        <w:sz w:val="20"/>
        <w:szCs w:val="20"/>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paragraph" w:styleId="Heading1">
    <w:name w:val="Heading 1"/>
    <w:basedOn w:val="Normal"/>
    <w:next w:val="Normal"/>
    <w:qFormat/>
    <w:pPr>
      <w:spacing w:before="360" w:after="120"/>
      <w:outlineLvl w:val="0"/>
    </w:pPr>
    <w:rPr>
      <w:rFonts w:ascii="Arial" w:cs="Arial" w:eastAsia="Arial" w:hAnsi="Arial"/>
      <w:b/>
      <w:bCs/>
      <w:color w:val="1B3A5C"/>
      <w:sz w:val="28"/>
      <w:szCs w:val="28"/>
    </w:rPr>
  </w:style>
  <w:style w:type="paragraph" w:styleId="Heading2">
    <w:name w:val="Heading 2"/>
    <w:basedOn w:val="Normal"/>
    <w:next w:val="Normal"/>
    <w:qFormat/>
    <w:pPr>
      <w:spacing w:before="240" w:after="100"/>
      <w:outlineLvl w:val="1"/>
    </w:pPr>
    <w:rPr>
      <w:rFonts w:ascii="Arial" w:cs="Arial" w:eastAsia="Arial" w:hAnsi="Arial"/>
      <w:b/>
      <w:bCs/>
      <w:color w:val="2E75B6"/>
      <w:sz w:val="24"/>
      <w:szCs w:val="24"/>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settings" Target="settings.xml"/><Relationship Id="rId5" Type="http://schemas.openxmlformats.org/officeDocument/2006/relationships/comments" Target="comments.xml"/><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fontTable" Target="fontTable.xml"/></Relationships>
</file>

<file path=word/_rels/fontTable.xml.rels><?xml version="1.0" encoding="UTF-8"?><Relationships xmlns="http://schemas.openxmlformats.org/package/2006/relationships"/>
</file>

<file path=word/_rels/footer1.xml.rels><?xml version="1.0" encoding="UTF-8"?><Relationships xmlns="http://schemas.openxmlformats.org/package/2006/relationships"/>
</file>

<file path=word/_rels/footnotes.xml.rels><?xml version="1.0" encoding="UTF-8"?><Relationships xmlns="http://schemas.openxmlformats.org/package/2006/relationships"/>
</file>

<file path=word/_rels/header1.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2026-02-05T22:02:04.244Z</dcterms:created>
  <dcterms:modified xsi:type="dcterms:W3CDTF">2026-02-05T22:02:04.245Z</dcterms:modified>
</cp:coreProperties>
</file>

<file path=docProps/custom.xml><?xml version="1.0" encoding="utf-8"?>
<Properties xmlns="http://schemas.openxmlformats.org/officeDocument/2006/custom-properties" xmlns:vt="http://schemas.openxmlformats.org/officeDocument/2006/docPropsVTypes"/>
</file>