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80" w:hRule="exact"/>
        </w:trPr>
        <w:tc>
          <w:tcPr>
            <w:tcW w:type="dxa" w:w="9360"/>
            <w:tcBorders>
              <w:top w:val="none" w:sz="0"/>
              <w:left w:val="none" w:sz="0"/>
              <w:bottom w:val="none" w:sz="0"/>
              <w:right w:val="none" w:sz="0"/>
            </w:tcBorders>
            <w:shd w:fill="C5972C" w:val="clear"/>
          </w:tcPr>
          <w:p>
            <w:pPr>
              <w:spacing w:before="0" w:after="0"/>
            </w:pPr>
          </w:p>
        </w:tc>
      </w:tr>
    </w:tbl>
    <w:p>
      <w:pPr>
        <w:spacing w:before="120" w:after="0"/>
      </w:pPr>
    </w:p>
    <w:p>
      <w:pPr>
        <w:spacing w:before="0" w:after="40"/>
      </w:pPr>
      <w:r>
        <w:rPr>
          <w:rFonts w:ascii="Arial" w:cs="Arial" w:eastAsia="Arial" w:hAnsi="Arial"/>
          <w:b/>
          <w:bCs/>
          <w:color w:val="1B2A4A"/>
          <w:sz w:val="38"/>
          <w:szCs w:val="38"/>
        </w:rPr>
        <w:t xml:space="preserve">Cell Phone &amp; Electronic Device Policy</w:t>
      </w:r>
    </w:p>
    <w:p>
      <w:pPr>
        <w:spacing w:before="0" w:after="80"/>
      </w:pPr>
      <w:r>
        <w:rPr>
          <w:rFonts w:ascii="Arial" w:cs="Arial" w:eastAsia="Arial" w:hAnsi="Arial"/>
          <w:color w:val="C5972C"/>
          <w:sz w:val="20"/>
          <w:szCs w:val="20"/>
        </w:rPr>
        <w:t xml:space="preserve">Combating Distracted Driving: Policies &amp; Technology  |  Driver Hiring &amp; Screening</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rPr>
          <w:trHeight w:val="40" w:hRule="exact"/>
        </w:trPr>
        <w:tc>
          <w:tcPr>
            <w:tcW w:type="dxa" w:w="9360"/>
            <w:tcBorders>
              <w:top w:val="none" w:sz="0"/>
              <w:left w:val="none" w:sz="0"/>
              <w:bottom w:val="none" w:sz="0"/>
              <w:right w:val="none" w:sz="0"/>
            </w:tcBorders>
            <w:shd w:fill="1B2A4A" w:val="clear"/>
          </w:tcPr>
          <w:p>
            <w:pPr>
              <w:spacing w:before="0" w:after="0"/>
            </w:pPr>
          </w:p>
        </w:tc>
      </w:tr>
    </w:tbl>
    <w:p>
      <w:pPr>
        <w:spacing w:before="8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3180"/>
        <w:gridCol w:w="1200"/>
        <w:gridCol w:w="3780"/>
      </w:tblGrid>
      <w:tr>
        <w:tc>
          <w:tcPr>
            <w:tcW w:type="dxa" w:w="12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b/>
                <w:bCs/>
                <w:color w:val="1B2A4A"/>
                <w:sz w:val="16"/>
                <w:szCs w:val="16"/>
              </w:rPr>
              <w:t xml:space="preserve">Company Name:</w:t>
            </w:r>
          </w:p>
        </w:tc>
        <w:tc>
          <w:tcPr>
            <w:tcW w:type="dxa" w:w="3180"/>
            <w:tcBorders>
              <w:top w:val="single" w:color="D9D9D9" w:sz="1"/>
              <w:left w:val="single" w:color="D9D9D9" w:sz="1"/>
              <w:bottom w:val="single" w:color="D9D9D9" w:sz="1"/>
              <w:right w:val="single" w:color="D9D9D9" w:sz="1"/>
            </w:tcBorders>
            <w:tcMar>
              <w:top w:type="dxa" w:w="40"/>
              <w:left w:type="dxa" w:w="100"/>
              <w:bottom w:type="dxa" w:w="40"/>
              <w:right w:type="dxa" w:w="100"/>
            </w:tcMar>
            <w:vAlign w:val="center"/>
          </w:tcPr>
          <w:p>
            <w:pPr>
              <w:spacing w:before="0" w:after="0"/>
            </w:pPr>
            <w:r>
              <w:rPr>
                <w:rFonts w:ascii="Arial" w:cs="Arial" w:eastAsia="Arial" w:hAnsi="Arial"/>
                <w:color w:val="333333"/>
                <w:sz w:val="16"/>
                <w:szCs w:val="16"/>
              </w:rPr>
              <w:t xml:space="preserve">[Company Name]</w:t>
            </w:r>
          </w:p>
        </w:tc>
        <w:tc>
          <w:tcPr>
            <w:tcW w:type="dxa" w:w="12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b/>
                <w:bCs/>
                <w:color w:val="1B2A4A"/>
                <w:sz w:val="16"/>
                <w:szCs w:val="16"/>
              </w:rPr>
              <w:t xml:space="preserve">Policy Number:</w:t>
            </w:r>
          </w:p>
        </w:tc>
        <w:tc>
          <w:tcPr>
            <w:tcW w:type="dxa" w:w="3780"/>
            <w:tcBorders>
              <w:top w:val="single" w:color="D9D9D9" w:sz="1"/>
              <w:left w:val="single" w:color="D9D9D9" w:sz="1"/>
              <w:bottom w:val="single" w:color="D9D9D9" w:sz="1"/>
              <w:right w:val="single" w:color="D9D9D9" w:sz="1"/>
            </w:tcBorders>
            <w:tcMar>
              <w:top w:type="dxa" w:w="40"/>
              <w:left w:type="dxa" w:w="100"/>
              <w:bottom w:type="dxa" w:w="40"/>
              <w:right w:type="dxa" w:w="100"/>
            </w:tcMar>
            <w:vAlign w:val="center"/>
          </w:tcPr>
          <w:p>
            <w:pPr>
              <w:spacing w:before="0" w:after="0"/>
            </w:pPr>
            <w:r>
              <w:rPr>
                <w:rFonts w:ascii="Arial" w:cs="Arial" w:eastAsia="Arial" w:hAnsi="Arial"/>
                <w:color w:val="333333"/>
                <w:sz w:val="16"/>
                <w:szCs w:val="16"/>
              </w:rPr>
              <w:t xml:space="preserve">[POL-CELL-001]</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00"/>
        <w:gridCol w:w="1860"/>
        <w:gridCol w:w="1100"/>
        <w:gridCol w:w="1860"/>
        <w:gridCol w:w="700"/>
        <w:gridCol w:w="2740"/>
      </w:tblGrid>
      <w:tr>
        <w:tc>
          <w:tcPr>
            <w:tcW w:type="dxa" w:w="11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b/>
                <w:bCs/>
                <w:color w:val="1B2A4A"/>
                <w:sz w:val="16"/>
                <w:szCs w:val="16"/>
              </w:rPr>
              <w:t xml:space="preserve">Effective Date:</w:t>
            </w:r>
          </w:p>
        </w:tc>
        <w:tc>
          <w:tcPr>
            <w:tcW w:type="dxa" w:w="1860"/>
            <w:tcBorders>
              <w:top w:val="single" w:color="D9D9D9" w:sz="1"/>
              <w:left w:val="single" w:color="D9D9D9" w:sz="1"/>
              <w:bottom w:val="single" w:color="D9D9D9" w:sz="1"/>
              <w:right w:val="single" w:color="D9D9D9" w:sz="1"/>
            </w:tcBorders>
            <w:tcMar>
              <w:top w:type="dxa" w:w="40"/>
              <w:left w:type="dxa" w:w="100"/>
              <w:bottom w:type="dxa" w:w="40"/>
              <w:right w:type="dxa" w:w="100"/>
            </w:tcMar>
            <w:vAlign w:val="center"/>
          </w:tcPr>
          <w:p>
            <w:pPr>
              <w:spacing w:before="0" w:after="0"/>
            </w:pPr>
            <w:r>
              <w:rPr>
                <w:rFonts w:ascii="Arial" w:cs="Arial" w:eastAsia="Arial" w:hAnsi="Arial"/>
                <w:color w:val="333333"/>
                <w:sz w:val="16"/>
                <w:szCs w:val="16"/>
              </w:rPr>
              <w:t xml:space="preserve">[Date]</w:t>
            </w:r>
          </w:p>
        </w:tc>
        <w:tc>
          <w:tcPr>
            <w:tcW w:type="dxa" w:w="11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b/>
                <w:bCs/>
                <w:color w:val="1B2A4A"/>
                <w:sz w:val="16"/>
                <w:szCs w:val="16"/>
              </w:rPr>
              <w:t xml:space="preserve">Revision Date:</w:t>
            </w:r>
          </w:p>
        </w:tc>
        <w:tc>
          <w:tcPr>
            <w:tcW w:type="dxa" w:w="1860"/>
            <w:tcBorders>
              <w:top w:val="single" w:color="D9D9D9" w:sz="1"/>
              <w:left w:val="single" w:color="D9D9D9" w:sz="1"/>
              <w:bottom w:val="single" w:color="D9D9D9" w:sz="1"/>
              <w:right w:val="single" w:color="D9D9D9" w:sz="1"/>
            </w:tcBorders>
            <w:tcMar>
              <w:top w:type="dxa" w:w="40"/>
              <w:left w:type="dxa" w:w="100"/>
              <w:bottom w:type="dxa" w:w="40"/>
              <w:right w:type="dxa" w:w="100"/>
            </w:tcMar>
            <w:vAlign w:val="center"/>
          </w:tcPr>
          <w:p>
            <w:pPr>
              <w:spacing w:before="0" w:after="0"/>
            </w:pPr>
            <w:r>
              <w:rPr>
                <w:rFonts w:ascii="Arial" w:cs="Arial" w:eastAsia="Arial" w:hAnsi="Arial"/>
                <w:color w:val="333333"/>
                <w:sz w:val="16"/>
                <w:szCs w:val="16"/>
              </w:rPr>
              <w:t xml:space="preserve">[Date]</w:t>
            </w:r>
          </w:p>
        </w:tc>
        <w:tc>
          <w:tcPr>
            <w:tcW w:type="dxa" w:w="7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b/>
                <w:bCs/>
                <w:color w:val="1B2A4A"/>
                <w:sz w:val="16"/>
                <w:szCs w:val="16"/>
              </w:rPr>
              <w:t xml:space="preserve">Version:</w:t>
            </w:r>
          </w:p>
        </w:tc>
        <w:tc>
          <w:tcPr>
            <w:tcW w:type="dxa" w:w="2740"/>
            <w:tcBorders>
              <w:top w:val="single" w:color="D9D9D9" w:sz="1"/>
              <w:left w:val="single" w:color="D9D9D9" w:sz="1"/>
              <w:bottom w:val="single" w:color="D9D9D9" w:sz="1"/>
              <w:right w:val="single" w:color="D9D9D9" w:sz="1"/>
            </w:tcBorders>
            <w:tcMar>
              <w:top w:type="dxa" w:w="40"/>
              <w:left w:type="dxa" w:w="100"/>
              <w:bottom w:type="dxa" w:w="40"/>
              <w:right w:type="dxa" w:w="100"/>
            </w:tcMar>
            <w:vAlign w:val="center"/>
          </w:tcPr>
          <w:p>
            <w:pPr>
              <w:spacing w:before="0" w:after="0"/>
            </w:pPr>
            <w:r>
              <w:rPr>
                <w:rFonts w:ascii="Arial" w:cs="Arial" w:eastAsia="Arial" w:hAnsi="Arial"/>
                <w:color w:val="333333"/>
                <w:sz w:val="16"/>
                <w:szCs w:val="16"/>
              </w:rPr>
              <w:t xml:space="preserve">[1.0]</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100"/>
        <w:gridCol w:w="3380"/>
        <w:gridCol w:w="1000"/>
        <w:gridCol w:w="3880"/>
      </w:tblGrid>
      <w:tr>
        <w:tc>
          <w:tcPr>
            <w:tcW w:type="dxa" w:w="11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b/>
                <w:bCs/>
                <w:color w:val="1B2A4A"/>
                <w:sz w:val="16"/>
                <w:szCs w:val="16"/>
              </w:rPr>
              <w:t xml:space="preserve">Approved By:</w:t>
            </w:r>
          </w:p>
        </w:tc>
        <w:tc>
          <w:tcPr>
            <w:tcW w:type="dxa" w:w="3380"/>
            <w:tcBorders>
              <w:top w:val="single" w:color="D9D9D9" w:sz="1"/>
              <w:left w:val="single" w:color="D9D9D9" w:sz="1"/>
              <w:bottom w:val="single" w:color="D9D9D9" w:sz="1"/>
              <w:right w:val="single" w:color="D9D9D9" w:sz="1"/>
            </w:tcBorders>
            <w:tcMar>
              <w:top w:type="dxa" w:w="40"/>
              <w:left w:type="dxa" w:w="100"/>
              <w:bottom w:type="dxa" w:w="40"/>
              <w:right w:type="dxa" w:w="100"/>
            </w:tcMar>
            <w:vAlign w:val="center"/>
          </w:tcPr>
          <w:p>
            <w:pPr>
              <w:spacing w:before="0" w:after="0"/>
            </w:pPr>
            <w:r>
              <w:rPr>
                <w:rFonts w:ascii="Arial" w:cs="Arial" w:eastAsia="Arial" w:hAnsi="Arial"/>
                <w:color w:val="333333"/>
                <w:sz w:val="16"/>
                <w:szCs w:val="16"/>
              </w:rPr>
              <w:t xml:space="preserve">[Name / Title]</w:t>
            </w:r>
          </w:p>
        </w:tc>
        <w:tc>
          <w:tcPr>
            <w:tcW w:type="dxa" w:w="10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b/>
                <w:bCs/>
                <w:color w:val="1B2A4A"/>
                <w:sz w:val="16"/>
                <w:szCs w:val="16"/>
              </w:rPr>
              <w:t xml:space="preserve">Department:</w:t>
            </w:r>
          </w:p>
        </w:tc>
        <w:tc>
          <w:tcPr>
            <w:tcW w:type="dxa" w:w="3880"/>
            <w:tcBorders>
              <w:top w:val="single" w:color="D9D9D9" w:sz="1"/>
              <w:left w:val="single" w:color="D9D9D9" w:sz="1"/>
              <w:bottom w:val="single" w:color="D9D9D9" w:sz="1"/>
              <w:right w:val="single" w:color="D9D9D9" w:sz="1"/>
            </w:tcBorders>
            <w:tcMar>
              <w:top w:type="dxa" w:w="40"/>
              <w:left w:type="dxa" w:w="100"/>
              <w:bottom w:type="dxa" w:w="40"/>
              <w:right w:type="dxa" w:w="100"/>
            </w:tcMar>
            <w:vAlign w:val="center"/>
          </w:tcPr>
          <w:p>
            <w:pPr>
              <w:spacing w:before="0" w:after="0"/>
            </w:pPr>
            <w:r>
              <w:rPr>
                <w:rFonts w:ascii="Arial" w:cs="Arial" w:eastAsia="Arial" w:hAnsi="Arial"/>
                <w:color w:val="333333"/>
                <w:sz w:val="16"/>
                <w:szCs w:val="16"/>
              </w:rPr>
              <w:t xml:space="preserve">[Safety / Operations]</w:t>
            </w:r>
          </w:p>
        </w:tc>
      </w:tr>
    </w:tbl>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80"/>
              <w:left w:type="dxa" w:w="140"/>
              <w:bottom w:type="dxa" w:w="80"/>
              <w:right w:type="dxa" w:w="140"/>
            </w:tcMar>
            <w:vAlign w:val="center"/>
          </w:tcPr>
          <w:p>
            <w:pPr>
              <w:spacing w:before="0" w:after="0"/>
            </w:pPr>
            <w:r>
              <w:rPr>
                <w:rFonts w:ascii="Arial" w:cs="Arial" w:eastAsia="Arial" w:hAnsi="Arial"/>
                <w:b/>
                <w:bCs/>
                <w:color w:val="C5972C"/>
                <w:sz w:val="16"/>
                <w:szCs w:val="16"/>
              </w:rPr>
              <w:t xml:space="preserve">CUSTOMIZATION NOTE:  </w:t>
            </w:r>
            <w:r>
              <w:rPr>
                <w:rFonts w:ascii="Arial" w:cs="Arial" w:eastAsia="Arial" w:hAnsi="Arial"/>
                <w:color w:val="333333"/>
                <w:sz w:val="16"/>
                <w:szCs w:val="16"/>
              </w:rPr>
              <w:t xml:space="preserve">This policy template is provided free by First Underwriters Insurance Brokers as part of the Combating Distracted Driving resource library. All bracketed fields [like this] should be customized to your organization. Review with legal counsel before implementation to ensure compliance with applicable federal, state, and local laws.</w:t>
            </w:r>
          </w:p>
        </w:tc>
      </w:tr>
    </w:tbl>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1: PURPOSE &amp; SCOPE</w:t>
            </w:r>
          </w:p>
        </w:tc>
      </w:tr>
    </w:tbl>
    <w:p>
      <w:pPr>
        <w:spacing w:before="60" w:after="0"/>
      </w:pPr>
    </w:p>
    <w:p>
      <w:pPr>
        <w:pStyle w:val="Heading2"/>
      </w:pPr>
      <w:r>
        <w:t xml:space="preserve">1.1  Purpose</w:t>
      </w:r>
    </w:p>
    <w:p>
      <w:pPr>
        <w:spacing w:before="0" w:after="60"/>
      </w:pPr>
      <w:r>
        <w:rPr>
          <w:rFonts w:ascii="Arial" w:cs="Arial" w:eastAsia="Arial" w:hAnsi="Arial"/>
          <w:color w:val="333333"/>
          <w:sz w:val="17"/>
          <w:szCs w:val="17"/>
        </w:rPr>
        <w:t xml:space="preserve">[Company Name] is committed to the safety of its employees, the motoring public, and the communities we serve. Distracted driving is a leading cause of preventable accidents in the transportation industry. This policy establishes clear requirements for the use of cell phones, smartphones, tablets, and all electronic communication devices while operating company vehicles or any vehicle on company business.</w:t>
      </w:r>
    </w:p>
    <w:p>
      <w:pPr>
        <w:spacing w:before="20" w:after="0"/>
      </w:pPr>
    </w:p>
    <w:p>
      <w:pPr>
        <w:spacing w:before="0" w:after="60"/>
      </w:pPr>
      <w:r>
        <w:rPr>
          <w:rFonts w:ascii="Arial" w:cs="Arial" w:eastAsia="Arial" w:hAnsi="Arial"/>
          <w:color w:val="333333"/>
          <w:sz w:val="17"/>
          <w:szCs w:val="17"/>
        </w:rPr>
        <w:t xml:space="preserve">This policy supports compliance with Federal Motor Carrier Safety Regulations (FMCSRs) under 49 CFR 392.80 (texting prohibition) and 49 CFR 392.82 (handheld mobile telephone restriction) and reinforces [Company Name]’s commitment to a zero-tolerance approach to distracted driving.</w:t>
      </w:r>
    </w:p>
    <w:p>
      <w:pPr>
        <w:spacing w:before="40" w:after="0"/>
      </w:pPr>
    </w:p>
    <w:p>
      <w:pPr>
        <w:pStyle w:val="Heading2"/>
      </w:pPr>
      <w:r>
        <w:t xml:space="preserve">1.2  Scope</w:t>
      </w:r>
    </w:p>
    <w:p>
      <w:pPr>
        <w:spacing w:before="0" w:after="60"/>
      </w:pPr>
      <w:r>
        <w:rPr>
          <w:rFonts w:ascii="Arial" w:cs="Arial" w:eastAsia="Arial" w:hAnsi="Arial"/>
          <w:color w:val="333333"/>
          <w:sz w:val="17"/>
          <w:szCs w:val="17"/>
        </w:rPr>
        <w:t xml:space="preserve">This policy applies to:</w:t>
      </w:r>
    </w:p>
    <w:p>
      <w:pPr>
        <w:pStyle w:val="ListParagraph"/>
        <w:numPr>
          <w:ilvl w:val="0"/>
          <w:numId w:val="2"/>
        </w:numPr>
        <w:spacing w:before="0" w:after="40"/>
      </w:pPr>
      <w:r>
        <w:rPr>
          <w:rFonts w:ascii="Arial" w:cs="Arial" w:eastAsia="Arial" w:hAnsi="Arial"/>
          <w:color w:val="333333"/>
          <w:sz w:val="17"/>
          <w:szCs w:val="17"/>
        </w:rPr>
        <w:t xml:space="preserve">All employees who operate a commercial motor vehicle (CMV) requiring a CDL</w:t>
      </w:r>
    </w:p>
    <w:p>
      <w:pPr>
        <w:pStyle w:val="ListParagraph"/>
        <w:numPr>
          <w:ilvl w:val="0"/>
          <w:numId w:val="2"/>
        </w:numPr>
        <w:spacing w:before="0" w:after="40"/>
      </w:pPr>
      <w:r>
        <w:rPr>
          <w:rFonts w:ascii="Arial" w:cs="Arial" w:eastAsia="Arial" w:hAnsi="Arial"/>
          <w:color w:val="333333"/>
          <w:sz w:val="17"/>
          <w:szCs w:val="17"/>
        </w:rPr>
        <w:t xml:space="preserve">All employees operating any company-owned or company-leased vehicle</w:t>
      </w:r>
    </w:p>
    <w:p>
      <w:pPr>
        <w:pStyle w:val="ListParagraph"/>
        <w:numPr>
          <w:ilvl w:val="0"/>
          <w:numId w:val="2"/>
        </w:numPr>
        <w:spacing w:before="0" w:after="40"/>
      </w:pPr>
      <w:r>
        <w:rPr>
          <w:rFonts w:ascii="Arial" w:cs="Arial" w:eastAsia="Arial" w:hAnsi="Arial"/>
          <w:color w:val="333333"/>
          <w:sz w:val="17"/>
          <w:szCs w:val="17"/>
        </w:rPr>
        <w:t xml:space="preserve">All employees operating a personal vehicle while conducting company business</w:t>
      </w:r>
    </w:p>
    <w:p>
      <w:pPr>
        <w:pStyle w:val="ListParagraph"/>
        <w:numPr>
          <w:ilvl w:val="0"/>
          <w:numId w:val="2"/>
        </w:numPr>
        <w:spacing w:before="0" w:after="40"/>
      </w:pPr>
      <w:r>
        <w:rPr>
          <w:rFonts w:ascii="Arial" w:cs="Arial" w:eastAsia="Arial" w:hAnsi="Arial"/>
          <w:color w:val="333333"/>
          <w:sz w:val="17"/>
          <w:szCs w:val="17"/>
        </w:rPr>
        <w:t xml:space="preserve">Independent contractors and temporary workers while performing services for [Company Name]</w:t>
      </w:r>
    </w:p>
    <w:p>
      <w:pPr>
        <w:pStyle w:val="ListParagraph"/>
        <w:numPr>
          <w:ilvl w:val="0"/>
          <w:numId w:val="2"/>
        </w:numPr>
        <w:spacing w:before="0" w:after="60"/>
      </w:pPr>
      <w:r>
        <w:rPr>
          <w:rFonts w:ascii="Arial" w:cs="Arial" w:eastAsia="Arial" w:hAnsi="Arial"/>
          <w:color w:val="333333"/>
          <w:sz w:val="17"/>
          <w:szCs w:val="17"/>
        </w:rPr>
        <w:t xml:space="preserve">All company-issued and personal electronic devices used during vehicle operation</w:t>
      </w:r>
    </w:p>
    <w:p>
      <w:pPr>
        <w:spacing w:before="40" w:after="0"/>
      </w:pP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2: DEFINITIONS</w:t>
            </w:r>
          </w:p>
        </w:tc>
      </w:tr>
    </w:tbl>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D9D9D9" w:sz="1"/>
              <w:left w:val="single" w:color="D9D9D9" w:sz="1"/>
              <w:bottom w:val="single" w:color="D9D9D9" w:sz="1"/>
              <w:right w:val="single" w:color="D9D9D9" w:sz="1"/>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16"/>
                <w:szCs w:val="16"/>
              </w:rPr>
              <w:t xml:space="preserve">Term</w:t>
            </w:r>
          </w:p>
        </w:tc>
        <w:tc>
          <w:tcPr>
            <w:tcW w:type="dxa" w:w="6960"/>
            <w:tcBorders>
              <w:top w:val="single" w:color="D9D9D9" w:sz="1"/>
              <w:left w:val="single" w:color="D9D9D9" w:sz="1"/>
              <w:bottom w:val="single" w:color="D9D9D9" w:sz="1"/>
              <w:right w:val="single" w:color="D9D9D9" w:sz="1"/>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16"/>
                <w:szCs w:val="16"/>
              </w:rPr>
              <w:t xml:space="preserve">Definition</w:t>
            </w:r>
          </w:p>
        </w:tc>
      </w:tr>
      <w:tr>
        <w:tc>
          <w:tcPr>
            <w:tcW w:type="dxa" w:w="24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top"/>
          </w:tcPr>
          <w:p>
            <w:pPr>
              <w:spacing w:before="0" w:after="0"/>
            </w:pPr>
            <w:r>
              <w:rPr>
                <w:rFonts w:ascii="Arial" w:cs="Arial" w:eastAsia="Arial" w:hAnsi="Arial"/>
                <w:b/>
                <w:bCs/>
                <w:color w:val="1B2A4A"/>
                <w:sz w:val="16"/>
                <w:szCs w:val="16"/>
              </w:rPr>
              <w:t xml:space="preserve">Texting</w:t>
            </w:r>
          </w:p>
        </w:tc>
        <w:tc>
          <w:tcPr>
            <w:tcW w:type="dxa" w:w="696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top"/>
          </w:tcPr>
          <w:p>
            <w:pPr>
              <w:spacing w:before="0" w:after="0"/>
            </w:pPr>
            <w:r>
              <w:rPr>
                <w:rFonts w:ascii="Arial" w:cs="Arial" w:eastAsia="Arial" w:hAnsi="Arial"/>
                <w:color w:val="333333"/>
                <w:sz w:val="16"/>
                <w:szCs w:val="16"/>
              </w:rPr>
              <w:t xml:space="preserve">Manually entering alphanumeric text into, or reading text from, an electronic device, including SMS, email, instant messaging, web browsing, or accessing social media (49 CFR 390.5T)</w:t>
            </w:r>
          </w:p>
        </w:tc>
      </w:tr>
      <w:tr>
        <w:tc>
          <w:tcPr>
            <w:tcW w:type="dxa" w:w="2400"/>
            <w:tcBorders>
              <w:top w:val="single" w:color="D9D9D9" w:sz="1"/>
              <w:left w:val="single" w:color="D9D9D9" w:sz="1"/>
              <w:bottom w:val="single" w:color="D9D9D9" w:sz="1"/>
              <w:right w:val="single" w:color="D9D9D9" w:sz="1"/>
            </w:tcBorders>
            <w:shd w:fill="FFFFFF" w:val="clear"/>
            <w:tcMar>
              <w:top w:type="dxa" w:w="60"/>
              <w:left w:type="dxa" w:w="120"/>
              <w:bottom w:type="dxa" w:w="60"/>
              <w:right w:type="dxa" w:w="120"/>
            </w:tcMar>
            <w:vAlign w:val="top"/>
          </w:tcPr>
          <w:p>
            <w:pPr>
              <w:spacing w:before="0" w:after="0"/>
            </w:pPr>
            <w:r>
              <w:rPr>
                <w:rFonts w:ascii="Arial" w:cs="Arial" w:eastAsia="Arial" w:hAnsi="Arial"/>
                <w:b/>
                <w:bCs/>
                <w:color w:val="1B2A4A"/>
                <w:sz w:val="16"/>
                <w:szCs w:val="16"/>
              </w:rPr>
              <w:t xml:space="preserve">Mobile Telephone</w:t>
            </w:r>
          </w:p>
        </w:tc>
        <w:tc>
          <w:tcPr>
            <w:tcW w:type="dxa" w:w="6960"/>
            <w:tcBorders>
              <w:top w:val="single" w:color="D9D9D9" w:sz="1"/>
              <w:left w:val="single" w:color="D9D9D9" w:sz="1"/>
              <w:bottom w:val="single" w:color="D9D9D9" w:sz="1"/>
              <w:right w:val="single" w:color="D9D9D9" w:sz="1"/>
            </w:tcBorders>
            <w:shd w:fill="FFFFFF" w:val="clear"/>
            <w:tcMar>
              <w:top w:type="dxa" w:w="60"/>
              <w:left w:type="dxa" w:w="120"/>
              <w:bottom w:type="dxa" w:w="60"/>
              <w:right w:type="dxa" w:w="120"/>
            </w:tcMar>
            <w:vAlign w:val="top"/>
          </w:tcPr>
          <w:p>
            <w:pPr>
              <w:spacing w:before="0" w:after="0"/>
            </w:pPr>
            <w:r>
              <w:rPr>
                <w:rFonts w:ascii="Arial" w:cs="Arial" w:eastAsia="Arial" w:hAnsi="Arial"/>
                <w:color w:val="333333"/>
                <w:sz w:val="16"/>
                <w:szCs w:val="16"/>
              </w:rPr>
              <w:t xml:space="preserve">A device capable of making or receiving telephone calls, including smartphones, satellite phones, and any portable device with cellular connectivity</w:t>
            </w:r>
          </w:p>
        </w:tc>
      </w:tr>
      <w:tr>
        <w:tc>
          <w:tcPr>
            <w:tcW w:type="dxa" w:w="24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top"/>
          </w:tcPr>
          <w:p>
            <w:pPr>
              <w:spacing w:before="0" w:after="0"/>
            </w:pPr>
            <w:r>
              <w:rPr>
                <w:rFonts w:ascii="Arial" w:cs="Arial" w:eastAsia="Arial" w:hAnsi="Arial"/>
                <w:b/>
                <w:bCs/>
                <w:color w:val="1B2A4A"/>
                <w:sz w:val="16"/>
                <w:szCs w:val="16"/>
              </w:rPr>
              <w:t xml:space="preserve">Handheld Use</w:t>
            </w:r>
          </w:p>
        </w:tc>
        <w:tc>
          <w:tcPr>
            <w:tcW w:type="dxa" w:w="696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top"/>
          </w:tcPr>
          <w:p>
            <w:pPr>
              <w:spacing w:before="0" w:after="0"/>
            </w:pPr>
            <w:r>
              <w:rPr>
                <w:rFonts w:ascii="Arial" w:cs="Arial" w:eastAsia="Arial" w:hAnsi="Arial"/>
                <w:color w:val="333333"/>
                <w:sz w:val="16"/>
                <w:szCs w:val="16"/>
              </w:rPr>
              <w:t xml:space="preserve">Using at least one hand to hold a mobile telephone to conduct a voice call. Reaching for a device that requires the driver to maneuver so the driver is no longer in a seated, belted position also qualifies</w:t>
            </w:r>
          </w:p>
        </w:tc>
      </w:tr>
      <w:tr>
        <w:tc>
          <w:tcPr>
            <w:tcW w:type="dxa" w:w="2400"/>
            <w:tcBorders>
              <w:top w:val="single" w:color="D9D9D9" w:sz="1"/>
              <w:left w:val="single" w:color="D9D9D9" w:sz="1"/>
              <w:bottom w:val="single" w:color="D9D9D9" w:sz="1"/>
              <w:right w:val="single" w:color="D9D9D9" w:sz="1"/>
            </w:tcBorders>
            <w:shd w:fill="FFFFFF" w:val="clear"/>
            <w:tcMar>
              <w:top w:type="dxa" w:w="60"/>
              <w:left w:type="dxa" w:w="120"/>
              <w:bottom w:type="dxa" w:w="60"/>
              <w:right w:type="dxa" w:w="120"/>
            </w:tcMar>
            <w:vAlign w:val="top"/>
          </w:tcPr>
          <w:p>
            <w:pPr>
              <w:spacing w:before="0" w:after="0"/>
            </w:pPr>
            <w:r>
              <w:rPr>
                <w:rFonts w:ascii="Arial" w:cs="Arial" w:eastAsia="Arial" w:hAnsi="Arial"/>
                <w:b/>
                <w:bCs/>
                <w:color w:val="1B2A4A"/>
                <w:sz w:val="16"/>
                <w:szCs w:val="16"/>
              </w:rPr>
              <w:t xml:space="preserve">Hands-Free Use</w:t>
            </w:r>
          </w:p>
        </w:tc>
        <w:tc>
          <w:tcPr>
            <w:tcW w:type="dxa" w:w="6960"/>
            <w:tcBorders>
              <w:top w:val="single" w:color="D9D9D9" w:sz="1"/>
              <w:left w:val="single" w:color="D9D9D9" w:sz="1"/>
              <w:bottom w:val="single" w:color="D9D9D9" w:sz="1"/>
              <w:right w:val="single" w:color="D9D9D9" w:sz="1"/>
            </w:tcBorders>
            <w:shd w:fill="FFFFFF" w:val="clear"/>
            <w:tcMar>
              <w:top w:type="dxa" w:w="60"/>
              <w:left w:type="dxa" w:w="120"/>
              <w:bottom w:type="dxa" w:w="60"/>
              <w:right w:type="dxa" w:w="120"/>
            </w:tcMar>
            <w:vAlign w:val="top"/>
          </w:tcPr>
          <w:p>
            <w:pPr>
              <w:spacing w:before="0" w:after="0"/>
            </w:pPr>
            <w:r>
              <w:rPr>
                <w:rFonts w:ascii="Arial" w:cs="Arial" w:eastAsia="Arial" w:hAnsi="Arial"/>
                <w:color w:val="333333"/>
                <w:sz w:val="16"/>
                <w:szCs w:val="16"/>
              </w:rPr>
              <w:t xml:space="preserve">The use of a mobile telephone with an earpiece, dashboard-mounted device, Bluetooth, or speaker function that allows the driver to maintain both hands on the steering wheel</w:t>
            </w:r>
          </w:p>
        </w:tc>
      </w:tr>
      <w:tr>
        <w:tc>
          <w:tcPr>
            <w:tcW w:type="dxa" w:w="24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top"/>
          </w:tcPr>
          <w:p>
            <w:pPr>
              <w:spacing w:before="0" w:after="0"/>
            </w:pPr>
            <w:r>
              <w:rPr>
                <w:rFonts w:ascii="Arial" w:cs="Arial" w:eastAsia="Arial" w:hAnsi="Arial"/>
                <w:b/>
                <w:bCs/>
                <w:color w:val="1B2A4A"/>
                <w:sz w:val="16"/>
                <w:szCs w:val="16"/>
              </w:rPr>
              <w:t xml:space="preserve">Electronic Device</w:t>
            </w:r>
          </w:p>
        </w:tc>
        <w:tc>
          <w:tcPr>
            <w:tcW w:type="dxa" w:w="696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top"/>
          </w:tcPr>
          <w:p>
            <w:pPr>
              <w:spacing w:before="0" w:after="0"/>
            </w:pPr>
            <w:r>
              <w:rPr>
                <w:rFonts w:ascii="Arial" w:cs="Arial" w:eastAsia="Arial" w:hAnsi="Arial"/>
                <w:color w:val="333333"/>
                <w:sz w:val="16"/>
                <w:szCs w:val="16"/>
              </w:rPr>
              <w:t xml:space="preserve">Any portable electronic equipment including but not limited to tablets, laptops, GPS units not mounted in a fixed position, smartwatches used for communication, and portable media players</w:t>
            </w:r>
          </w:p>
        </w:tc>
      </w:tr>
      <w:tr>
        <w:tc>
          <w:tcPr>
            <w:tcW w:type="dxa" w:w="2400"/>
            <w:tcBorders>
              <w:top w:val="single" w:color="D9D9D9" w:sz="1"/>
              <w:left w:val="single" w:color="D9D9D9" w:sz="1"/>
              <w:bottom w:val="single" w:color="D9D9D9" w:sz="1"/>
              <w:right w:val="single" w:color="D9D9D9" w:sz="1"/>
            </w:tcBorders>
            <w:shd w:fill="FFFFFF" w:val="clear"/>
            <w:tcMar>
              <w:top w:type="dxa" w:w="60"/>
              <w:left w:type="dxa" w:w="120"/>
              <w:bottom w:type="dxa" w:w="60"/>
              <w:right w:type="dxa" w:w="120"/>
            </w:tcMar>
            <w:vAlign w:val="top"/>
          </w:tcPr>
          <w:p>
            <w:pPr>
              <w:spacing w:before="0" w:after="0"/>
            </w:pPr>
            <w:r>
              <w:rPr>
                <w:rFonts w:ascii="Arial" w:cs="Arial" w:eastAsia="Arial" w:hAnsi="Arial"/>
                <w:b/>
                <w:bCs/>
                <w:color w:val="1B2A4A"/>
                <w:sz w:val="16"/>
                <w:szCs w:val="16"/>
              </w:rPr>
              <w:t xml:space="preserve">CMV</w:t>
            </w:r>
          </w:p>
        </w:tc>
        <w:tc>
          <w:tcPr>
            <w:tcW w:type="dxa" w:w="6960"/>
            <w:tcBorders>
              <w:top w:val="single" w:color="D9D9D9" w:sz="1"/>
              <w:left w:val="single" w:color="D9D9D9" w:sz="1"/>
              <w:bottom w:val="single" w:color="D9D9D9" w:sz="1"/>
              <w:right w:val="single" w:color="D9D9D9" w:sz="1"/>
            </w:tcBorders>
            <w:shd w:fill="FFFFFF" w:val="clear"/>
            <w:tcMar>
              <w:top w:type="dxa" w:w="60"/>
              <w:left w:type="dxa" w:w="120"/>
              <w:bottom w:type="dxa" w:w="60"/>
              <w:right w:type="dxa" w:w="120"/>
            </w:tcMar>
            <w:vAlign w:val="top"/>
          </w:tcPr>
          <w:p>
            <w:pPr>
              <w:spacing w:before="0" w:after="0"/>
            </w:pPr>
            <w:r>
              <w:rPr>
                <w:rFonts w:ascii="Arial" w:cs="Arial" w:eastAsia="Arial" w:hAnsi="Arial"/>
                <w:color w:val="333333"/>
                <w:sz w:val="16"/>
                <w:szCs w:val="16"/>
              </w:rPr>
              <w:t xml:space="preserve">Commercial Motor Vehicle as defined under 49 CFR 390.5T — any vehicle used in commerce with a GVWR of 10,001+ lbs, designed to transport 9+ passengers, or transporting hazardous materials</w:t>
            </w:r>
          </w:p>
        </w:tc>
      </w:tr>
      <w:tr>
        <w:tc>
          <w:tcPr>
            <w:tcW w:type="dxa" w:w="24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top"/>
          </w:tcPr>
          <w:p>
            <w:pPr>
              <w:spacing w:before="0" w:after="0"/>
            </w:pPr>
            <w:r>
              <w:rPr>
                <w:rFonts w:ascii="Arial" w:cs="Arial" w:eastAsia="Arial" w:hAnsi="Arial"/>
                <w:b/>
                <w:bCs/>
                <w:color w:val="1B2A4A"/>
                <w:sz w:val="16"/>
                <w:szCs w:val="16"/>
              </w:rPr>
              <w:t xml:space="preserve">Driving</w:t>
            </w:r>
          </w:p>
        </w:tc>
        <w:tc>
          <w:tcPr>
            <w:tcW w:type="dxa" w:w="696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top"/>
          </w:tcPr>
          <w:p>
            <w:pPr>
              <w:spacing w:before="0" w:after="0"/>
            </w:pPr>
            <w:r>
              <w:rPr>
                <w:rFonts w:ascii="Arial" w:cs="Arial" w:eastAsia="Arial" w:hAnsi="Arial"/>
                <w:color w:val="333333"/>
                <w:sz w:val="16"/>
                <w:szCs w:val="16"/>
              </w:rPr>
              <w:t xml:space="preserve">Operating a CMV on a highway, including time spent waiting at traffic signals and stop signs, but not including time when the vehicle is parked safely off the road</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3: PROHIBITED ACTIVITIES</w:t>
            </w:r>
          </w:p>
        </w:tc>
      </w:tr>
    </w:tbl>
    <w:p>
      <w:pPr>
        <w:spacing w:before="60" w:after="0"/>
      </w:pPr>
    </w:p>
    <w:p>
      <w:pPr>
        <w:spacing w:before="0" w:after="60"/>
      </w:pPr>
      <w:r>
        <w:rPr>
          <w:rFonts w:ascii="Arial" w:cs="Arial" w:eastAsia="Arial" w:hAnsi="Arial"/>
          <w:color w:val="333333"/>
          <w:sz w:val="17"/>
          <w:szCs w:val="17"/>
        </w:rPr>
        <w:t xml:space="preserve">While operating any vehicle on company business or any CMV at any time, the following activities are strictly prohibited:</w:t>
      </w:r>
    </w:p>
    <w:p>
      <w:pPr>
        <w:spacing w:before="20" w:after="0"/>
      </w:pPr>
    </w:p>
    <w:p>
      <w:pPr>
        <w:pStyle w:val="Heading2"/>
      </w:pPr>
      <w:r>
        <w:t xml:space="preserve">3.1  Absolute Prohibitions (Zero Tolerance)</w:t>
      </w:r>
    </w:p>
    <w:p>
      <w:pPr>
        <w:pStyle w:val="ListParagraph"/>
        <w:numPr>
          <w:ilvl w:val="0"/>
          <w:numId w:val="3"/>
        </w:numPr>
        <w:spacing w:before="0" w:after="40"/>
      </w:pPr>
      <w:r>
        <w:rPr>
          <w:rFonts w:ascii="Arial" w:cs="Arial" w:eastAsia="Arial" w:hAnsi="Arial"/>
          <w:color w:val="333333"/>
          <w:sz w:val="17"/>
          <w:szCs w:val="17"/>
        </w:rPr>
        <w:t xml:space="preserve">Texting — composing, reading, or sending any text-based communication (SMS, email, social media, web browsing) while the vehicle is in motion or in traffic</w:t>
      </w:r>
    </w:p>
    <w:p>
      <w:pPr>
        <w:pStyle w:val="ListParagraph"/>
        <w:numPr>
          <w:ilvl w:val="0"/>
          <w:numId w:val="3"/>
        </w:numPr>
        <w:spacing w:before="0" w:after="40"/>
      </w:pPr>
      <w:r>
        <w:rPr>
          <w:rFonts w:ascii="Arial" w:cs="Arial" w:eastAsia="Arial" w:hAnsi="Arial"/>
          <w:color w:val="333333"/>
          <w:sz w:val="17"/>
          <w:szCs w:val="17"/>
        </w:rPr>
        <w:t xml:space="preserve">Handheld phone calls — holding a mobile telephone to make, answer, or conduct a voice call while driving</w:t>
      </w:r>
    </w:p>
    <w:p>
      <w:pPr>
        <w:pStyle w:val="ListParagraph"/>
        <w:numPr>
          <w:ilvl w:val="0"/>
          <w:numId w:val="3"/>
        </w:numPr>
        <w:spacing w:before="0" w:after="40"/>
      </w:pPr>
      <w:r>
        <w:rPr>
          <w:rFonts w:ascii="Arial" w:cs="Arial" w:eastAsia="Arial" w:hAnsi="Arial"/>
          <w:color w:val="333333"/>
          <w:sz w:val="17"/>
          <w:szCs w:val="17"/>
        </w:rPr>
        <w:t xml:space="preserve">Reaching for a device — reaching for a phone or electronic device in a manner that requires the driver to maneuver out of a seated, belted driving position</w:t>
      </w:r>
    </w:p>
    <w:p>
      <w:pPr>
        <w:pStyle w:val="ListParagraph"/>
        <w:numPr>
          <w:ilvl w:val="0"/>
          <w:numId w:val="3"/>
        </w:numPr>
        <w:spacing w:before="0" w:after="40"/>
      </w:pPr>
      <w:r>
        <w:rPr>
          <w:rFonts w:ascii="Arial" w:cs="Arial" w:eastAsia="Arial" w:hAnsi="Arial"/>
          <w:color w:val="333333"/>
          <w:sz w:val="17"/>
          <w:szCs w:val="17"/>
        </w:rPr>
        <w:t xml:space="preserve">Video calls, video recording, or live streaming while the vehicle is in any gear other than park</w:t>
      </w:r>
    </w:p>
    <w:p>
      <w:pPr>
        <w:pStyle w:val="ListParagraph"/>
        <w:numPr>
          <w:ilvl w:val="0"/>
          <w:numId w:val="3"/>
        </w:numPr>
        <w:spacing w:before="0" w:after="40"/>
      </w:pPr>
      <w:r>
        <w:rPr>
          <w:rFonts w:ascii="Arial" w:cs="Arial" w:eastAsia="Arial" w:hAnsi="Arial"/>
          <w:color w:val="333333"/>
          <w:sz w:val="17"/>
          <w:szCs w:val="17"/>
        </w:rPr>
        <w:t xml:space="preserve">Manually entering data into any GPS, navigation, or dispatching device while the vehicle is in motion</w:t>
      </w:r>
    </w:p>
    <w:p>
      <w:pPr>
        <w:pStyle w:val="ListParagraph"/>
        <w:numPr>
          <w:ilvl w:val="0"/>
          <w:numId w:val="3"/>
        </w:numPr>
        <w:spacing w:before="0" w:after="40"/>
      </w:pPr>
      <w:r>
        <w:rPr>
          <w:rFonts w:ascii="Arial" w:cs="Arial" w:eastAsia="Arial" w:hAnsi="Arial"/>
          <w:color w:val="333333"/>
          <w:sz w:val="17"/>
          <w:szCs w:val="17"/>
        </w:rPr>
        <w:t xml:space="preserve">Using a smartwatch, fitness tracker, or wearable device for any communication purpose while driving</w:t>
      </w:r>
    </w:p>
    <w:p>
      <w:pPr>
        <w:pStyle w:val="ListParagraph"/>
        <w:numPr>
          <w:ilvl w:val="0"/>
          <w:numId w:val="3"/>
        </w:numPr>
        <w:spacing w:before="0" w:after="40"/>
      </w:pPr>
      <w:r>
        <w:rPr>
          <w:rFonts w:ascii="Arial" w:cs="Arial" w:eastAsia="Arial" w:hAnsi="Arial"/>
          <w:color w:val="333333"/>
          <w:sz w:val="17"/>
          <w:szCs w:val="17"/>
        </w:rPr>
        <w:t xml:space="preserve">Wearing headphones or earbuds in both ears while operating a vehicle (single-ear earpiece permitted in states where legal)</w:t>
      </w:r>
    </w:p>
    <w:p>
      <w:pPr>
        <w:pStyle w:val="ListParagraph"/>
        <w:numPr>
          <w:ilvl w:val="0"/>
          <w:numId w:val="3"/>
        </w:numPr>
        <w:spacing w:before="0" w:after="40"/>
      </w:pPr>
      <w:r>
        <w:rPr>
          <w:rFonts w:ascii="Arial" w:cs="Arial" w:eastAsia="Arial" w:hAnsi="Arial"/>
          <w:color w:val="333333"/>
          <w:sz w:val="17"/>
          <w:szCs w:val="17"/>
        </w:rPr>
        <w:t xml:space="preserve">Taking or viewing photographs while the vehicle is in motion</w:t>
      </w:r>
    </w:p>
    <w:p>
      <w:pPr>
        <w:spacing w:before="40" w:after="0"/>
      </w:pPr>
    </w:p>
    <w:p>
      <w:pPr>
        <w:pStyle w:val="Heading2"/>
      </w:pPr>
      <w:r>
        <w:t xml:space="preserve">3.2  Conditional Restrictions</w:t>
      </w:r>
    </w:p>
    <w:p>
      <w:pPr>
        <w:pStyle w:val="ListParagraph"/>
        <w:numPr>
          <w:ilvl w:val="0"/>
          <w:numId w:val="4"/>
        </w:numPr>
        <w:spacing w:before="0" w:after="50"/>
      </w:pPr>
      <w:r>
        <w:rPr>
          <w:rFonts w:ascii="Arial" w:cs="Arial" w:eastAsia="Arial" w:hAnsi="Arial"/>
          <w:color w:val="333333"/>
          <w:sz w:val="17"/>
          <w:szCs w:val="17"/>
        </w:rPr>
        <w:t xml:space="preserve">Hands-free phone calls are permitted only when the device is in a mounted, fixed position and can be activated with a single touch or voice command. [Company Name] [reserves the right to / does not] restrict hands-free use during specific driving conditions (e.g., adverse weather, heavy traffic, work zones).</w:t>
      </w:r>
    </w:p>
    <w:p>
      <w:pPr>
        <w:pStyle w:val="ListParagraph"/>
        <w:numPr>
          <w:ilvl w:val="0"/>
          <w:numId w:val="4"/>
        </w:numPr>
        <w:spacing w:before="0" w:after="50"/>
      </w:pPr>
      <w:r>
        <w:rPr>
          <w:rFonts w:ascii="Arial" w:cs="Arial" w:eastAsia="Arial" w:hAnsi="Arial"/>
          <w:color w:val="333333"/>
          <w:sz w:val="17"/>
          <w:szCs w:val="17"/>
        </w:rPr>
        <w:t xml:space="preserve">GPS and navigation apps may only be used when the device is securely mounted in a fixed position and the destination is programmed before the vehicle is put in motion. Voice-guided navigation is encouraged.</w:t>
      </w:r>
    </w:p>
    <w:p>
      <w:pPr>
        <w:pStyle w:val="ListParagraph"/>
        <w:numPr>
          <w:ilvl w:val="0"/>
          <w:numId w:val="4"/>
        </w:numPr>
        <w:spacing w:before="0" w:after="50"/>
      </w:pPr>
      <w:r>
        <w:rPr>
          <w:rFonts w:ascii="Arial" w:cs="Arial" w:eastAsia="Arial" w:hAnsi="Arial"/>
          <w:color w:val="333333"/>
          <w:sz w:val="17"/>
          <w:szCs w:val="17"/>
        </w:rPr>
        <w:t xml:space="preserve">Dispatching and ELD applications on company-approved, dashboard-mounted devices may be operated only when the vehicle is safely stopped and out of traffic flow.</w:t>
      </w:r>
    </w:p>
    <w:p>
      <w:pPr>
        <w:pStyle w:val="ListParagraph"/>
        <w:numPr>
          <w:ilvl w:val="0"/>
          <w:numId w:val="4"/>
        </w:numPr>
        <w:spacing w:before="0" w:after="50"/>
      </w:pPr>
      <w:r>
        <w:rPr>
          <w:rFonts w:ascii="Arial" w:cs="Arial" w:eastAsia="Arial" w:hAnsi="Arial"/>
          <w:color w:val="333333"/>
          <w:sz w:val="17"/>
          <w:szCs w:val="17"/>
        </w:rPr>
        <w:t xml:space="preserve">Music and audio applications may be used only through the vehicle’s audio system via Bluetooth. Manual interaction with the device while driving is prohibited.</w:t>
      </w:r>
    </w:p>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4: PERMITTED USE &amp; SAFE PRACTICES</w:t>
            </w:r>
          </w:p>
        </w:tc>
      </w:tr>
    </w:tbl>
    <w:p>
      <w:pPr>
        <w:spacing w:before="60" w:after="0"/>
      </w:pPr>
    </w:p>
    <w:p>
      <w:pPr>
        <w:pStyle w:val="Heading2"/>
      </w:pPr>
      <w:r>
        <w:t xml:space="preserve">4.1  When Device Use Is Permitted</w:t>
      </w:r>
    </w:p>
    <w:p>
      <w:pPr>
        <w:spacing w:before="0" w:after="60"/>
      </w:pPr>
      <w:r>
        <w:rPr>
          <w:rFonts w:ascii="Arial" w:cs="Arial" w:eastAsia="Arial" w:hAnsi="Arial"/>
          <w:color w:val="333333"/>
          <w:sz w:val="17"/>
          <w:szCs w:val="17"/>
        </w:rPr>
        <w:t xml:space="preserve">Employees may use electronic devices when the vehicle is:</w:t>
      </w:r>
    </w:p>
    <w:p>
      <w:pPr>
        <w:pStyle w:val="ListParagraph"/>
        <w:numPr>
          <w:ilvl w:val="0"/>
          <w:numId w:val="5"/>
        </w:numPr>
        <w:spacing w:before="0" w:after="40"/>
      </w:pPr>
      <w:r>
        <w:rPr>
          <w:rFonts w:ascii="Arial" w:cs="Arial" w:eastAsia="Arial" w:hAnsi="Arial"/>
          <w:color w:val="333333"/>
          <w:sz w:val="17"/>
          <w:szCs w:val="17"/>
        </w:rPr>
        <w:t xml:space="preserve">Legally parked in a safe location completely off the traveled portion of the roadway</w:t>
      </w:r>
    </w:p>
    <w:p>
      <w:pPr>
        <w:pStyle w:val="ListParagraph"/>
        <w:numPr>
          <w:ilvl w:val="0"/>
          <w:numId w:val="5"/>
        </w:numPr>
        <w:spacing w:before="0" w:after="40"/>
      </w:pPr>
      <w:r>
        <w:rPr>
          <w:rFonts w:ascii="Arial" w:cs="Arial" w:eastAsia="Arial" w:hAnsi="Arial"/>
          <w:color w:val="333333"/>
          <w:sz w:val="17"/>
          <w:szCs w:val="17"/>
        </w:rPr>
        <w:t xml:space="preserve">Stopped at a designated rest area, truck stop, or company facility with the engine in park and the parking brake engaged</w:t>
      </w:r>
    </w:p>
    <w:p>
      <w:pPr>
        <w:pStyle w:val="ListParagraph"/>
        <w:numPr>
          <w:ilvl w:val="0"/>
          <w:numId w:val="5"/>
        </w:numPr>
        <w:spacing w:before="0" w:after="40"/>
      </w:pPr>
      <w:r>
        <w:rPr>
          <w:rFonts w:ascii="Arial" w:cs="Arial" w:eastAsia="Arial" w:hAnsi="Arial"/>
          <w:color w:val="333333"/>
          <w:sz w:val="17"/>
          <w:szCs w:val="17"/>
        </w:rPr>
        <w:t xml:space="preserve">In the case of an emergency requiring an immediate 911 call — the driver should safely pull over as quickly as possible before or immediately after making the call</w:t>
      </w:r>
    </w:p>
    <w:p>
      <w:pPr>
        <w:spacing w:before="40" w:after="0"/>
      </w:pPr>
    </w:p>
    <w:p>
      <w:pPr>
        <w:pStyle w:val="Heading2"/>
      </w:pPr>
      <w:r>
        <w:t xml:space="preserve">4.2  Best Practices</w:t>
      </w:r>
    </w:p>
    <w:p>
      <w:pPr>
        <w:pStyle w:val="ListParagraph"/>
        <w:numPr>
          <w:ilvl w:val="0"/>
          <w:numId w:val="6"/>
        </w:numPr>
        <w:spacing w:before="0" w:after="40"/>
      </w:pPr>
      <w:r>
        <w:rPr>
          <w:rFonts w:ascii="Arial" w:cs="Arial" w:eastAsia="Arial" w:hAnsi="Arial"/>
          <w:color w:val="333333"/>
          <w:sz w:val="17"/>
          <w:szCs w:val="17"/>
        </w:rPr>
        <w:t xml:space="preserve">Set all GPS destinations and communication preferences before beginning each trip</w:t>
      </w:r>
    </w:p>
    <w:p>
      <w:pPr>
        <w:pStyle w:val="ListParagraph"/>
        <w:numPr>
          <w:ilvl w:val="0"/>
          <w:numId w:val="6"/>
        </w:numPr>
        <w:spacing w:before="0" w:after="40"/>
      </w:pPr>
      <w:r>
        <w:rPr>
          <w:rFonts w:ascii="Arial" w:cs="Arial" w:eastAsia="Arial" w:hAnsi="Arial"/>
          <w:color w:val="333333"/>
          <w:sz w:val="17"/>
          <w:szCs w:val="17"/>
        </w:rPr>
        <w:t xml:space="preserve">Enable “Do Not Disturb While Driving” or equivalent mode on your device during operation</w:t>
      </w:r>
    </w:p>
    <w:p>
      <w:pPr>
        <w:pStyle w:val="ListParagraph"/>
        <w:numPr>
          <w:ilvl w:val="0"/>
          <w:numId w:val="6"/>
        </w:numPr>
        <w:spacing w:before="0" w:after="40"/>
      </w:pPr>
      <w:r>
        <w:rPr>
          <w:rFonts w:ascii="Arial" w:cs="Arial" w:eastAsia="Arial" w:hAnsi="Arial"/>
          <w:color w:val="333333"/>
          <w:sz w:val="17"/>
          <w:szCs w:val="17"/>
        </w:rPr>
        <w:t xml:space="preserve">Set up voicemail greetings informing callers you are driving and will return their call when safely stopped</w:t>
      </w:r>
    </w:p>
    <w:p>
      <w:pPr>
        <w:pStyle w:val="ListParagraph"/>
        <w:numPr>
          <w:ilvl w:val="0"/>
          <w:numId w:val="6"/>
        </w:numPr>
        <w:spacing w:before="0" w:after="40"/>
      </w:pPr>
      <w:r>
        <w:rPr>
          <w:rFonts w:ascii="Arial" w:cs="Arial" w:eastAsia="Arial" w:hAnsi="Arial"/>
          <w:color w:val="333333"/>
          <w:sz w:val="17"/>
          <w:szCs w:val="17"/>
        </w:rPr>
        <w:t xml:space="preserve">Pull over to a safe location for any call, text, or communication that cannot wait</w:t>
      </w:r>
    </w:p>
    <w:p>
      <w:pPr>
        <w:pStyle w:val="ListParagraph"/>
        <w:numPr>
          <w:ilvl w:val="0"/>
          <w:numId w:val="6"/>
        </w:numPr>
        <w:spacing w:before="0" w:after="40"/>
      </w:pPr>
      <w:r>
        <w:rPr>
          <w:rFonts w:ascii="Arial" w:cs="Arial" w:eastAsia="Arial" w:hAnsi="Arial"/>
          <w:color w:val="333333"/>
          <w:sz w:val="17"/>
          <w:szCs w:val="17"/>
        </w:rPr>
        <w:t xml:space="preserve">Use company-approved Bluetooth or hands-free systems only</w:t>
      </w:r>
    </w:p>
    <w:p>
      <w:pPr>
        <w:pStyle w:val="ListParagraph"/>
        <w:numPr>
          <w:ilvl w:val="0"/>
          <w:numId w:val="6"/>
        </w:numPr>
        <w:spacing w:before="0" w:after="40"/>
      </w:pPr>
      <w:r>
        <w:rPr>
          <w:rFonts w:ascii="Arial" w:cs="Arial" w:eastAsia="Arial" w:hAnsi="Arial"/>
          <w:color w:val="333333"/>
          <w:sz w:val="17"/>
          <w:szCs w:val="17"/>
        </w:rPr>
        <w:t xml:space="preserve">Report any malfunctioning hands-free or mounted device systems to your supervisor immediately</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5: ENFORCEMENT &amp; CONSEQUENCES</w:t>
            </w:r>
          </w:p>
        </w:tc>
      </w:tr>
    </w:tbl>
    <w:p>
      <w:pPr>
        <w:spacing w:before="60" w:after="0"/>
      </w:pPr>
    </w:p>
    <w:p>
      <w:pPr>
        <w:spacing w:before="0" w:after="60"/>
      </w:pPr>
      <w:r>
        <w:rPr>
          <w:rFonts w:ascii="Arial" w:cs="Arial" w:eastAsia="Arial" w:hAnsi="Arial"/>
          <w:color w:val="333333"/>
          <w:sz w:val="17"/>
          <w:szCs w:val="17"/>
        </w:rPr>
        <w:t xml:space="preserve">[Company Name] enforces this policy on a zero-tolerance basis for all absolute prohibitions. Violations will be addressed through the progressive discipline framework below, unless the severity of the violation warrants immediate escalation.</w:t>
      </w:r>
    </w:p>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00"/>
        <w:gridCol w:w="2260"/>
        <w:gridCol w:w="2700"/>
        <w:gridCol w:w="3000"/>
      </w:tblGrid>
      <w:tr>
        <w:tc>
          <w:tcPr>
            <w:tcW w:type="dxa" w:w="1400"/>
            <w:tcBorders>
              <w:top w:val="single" w:color="D9D9D9" w:sz="1"/>
              <w:left w:val="single" w:color="D9D9D9" w:sz="1"/>
              <w:bottom w:val="single" w:color="D9D9D9" w:sz="1"/>
              <w:right w:val="single" w:color="D9D9D9" w:sz="1"/>
            </w:tcBorders>
            <w:shd w:fill="1B2A4A" w:val="clear"/>
            <w:tcMar>
              <w:top w:type="dxa" w:w="60"/>
              <w:left w:type="dxa" w:w="120"/>
              <w:bottom w:type="dxa" w:w="60"/>
              <w:right w:type="dxa" w:w="120"/>
            </w:tcMar>
            <w:vAlign w:val="center"/>
          </w:tcPr>
          <w:p>
            <w:pPr>
              <w:spacing w:before="0" w:after="0"/>
              <w:jc w:val="center"/>
            </w:pPr>
            <w:r>
              <w:rPr>
                <w:rFonts w:ascii="Arial" w:cs="Arial" w:eastAsia="Arial" w:hAnsi="Arial"/>
                <w:b/>
                <w:bCs/>
                <w:color w:val="FFFFFF"/>
                <w:sz w:val="16"/>
                <w:szCs w:val="16"/>
              </w:rPr>
              <w:t xml:space="preserve">Offense</w:t>
            </w:r>
          </w:p>
        </w:tc>
        <w:tc>
          <w:tcPr>
            <w:tcW w:type="dxa" w:w="2260"/>
            <w:tcBorders>
              <w:top w:val="single" w:color="D9D9D9" w:sz="1"/>
              <w:left w:val="single" w:color="D9D9D9" w:sz="1"/>
              <w:bottom w:val="single" w:color="D9D9D9" w:sz="1"/>
              <w:right w:val="single" w:color="D9D9D9" w:sz="1"/>
            </w:tcBorders>
            <w:shd w:fill="1B2A4A" w:val="clear"/>
            <w:tcMar>
              <w:top w:type="dxa" w:w="60"/>
              <w:left w:type="dxa" w:w="120"/>
              <w:bottom w:type="dxa" w:w="60"/>
              <w:right w:type="dxa" w:w="120"/>
            </w:tcMar>
            <w:vAlign w:val="center"/>
          </w:tcPr>
          <w:p>
            <w:pPr>
              <w:spacing w:before="0" w:after="0"/>
              <w:jc w:val="center"/>
            </w:pPr>
            <w:r>
              <w:rPr>
                <w:rFonts w:ascii="Arial" w:cs="Arial" w:eastAsia="Arial" w:hAnsi="Arial"/>
                <w:b/>
                <w:bCs/>
                <w:color w:val="FFFFFF"/>
                <w:sz w:val="16"/>
                <w:szCs w:val="16"/>
              </w:rPr>
              <w:t xml:space="preserve">Violation Type</w:t>
            </w:r>
          </w:p>
        </w:tc>
        <w:tc>
          <w:tcPr>
            <w:tcW w:type="dxa" w:w="2700"/>
            <w:tcBorders>
              <w:top w:val="single" w:color="D9D9D9" w:sz="1"/>
              <w:left w:val="single" w:color="D9D9D9" w:sz="1"/>
              <w:bottom w:val="single" w:color="D9D9D9" w:sz="1"/>
              <w:right w:val="single" w:color="D9D9D9" w:sz="1"/>
            </w:tcBorders>
            <w:shd w:fill="1B2A4A" w:val="clear"/>
            <w:tcMar>
              <w:top w:type="dxa" w:w="60"/>
              <w:left w:type="dxa" w:w="120"/>
              <w:bottom w:type="dxa" w:w="60"/>
              <w:right w:type="dxa" w:w="120"/>
            </w:tcMar>
            <w:vAlign w:val="center"/>
          </w:tcPr>
          <w:p>
            <w:pPr>
              <w:spacing w:before="0" w:after="0"/>
              <w:jc w:val="center"/>
            </w:pPr>
            <w:r>
              <w:rPr>
                <w:rFonts w:ascii="Arial" w:cs="Arial" w:eastAsia="Arial" w:hAnsi="Arial"/>
                <w:b/>
                <w:bCs/>
                <w:color w:val="FFFFFF"/>
                <w:sz w:val="16"/>
                <w:szCs w:val="16"/>
              </w:rPr>
              <w:t xml:space="preserve">Disciplinary Action</w:t>
            </w:r>
          </w:p>
        </w:tc>
        <w:tc>
          <w:tcPr>
            <w:tcW w:type="dxa" w:w="3000"/>
            <w:tcBorders>
              <w:top w:val="single" w:color="D9D9D9" w:sz="1"/>
              <w:left w:val="single" w:color="D9D9D9" w:sz="1"/>
              <w:bottom w:val="single" w:color="D9D9D9" w:sz="1"/>
              <w:right w:val="single" w:color="D9D9D9" w:sz="1"/>
            </w:tcBorders>
            <w:shd w:fill="1B2A4A" w:val="clear"/>
            <w:tcMar>
              <w:top w:type="dxa" w:w="60"/>
              <w:left w:type="dxa" w:w="120"/>
              <w:bottom w:type="dxa" w:w="60"/>
              <w:right w:type="dxa" w:w="120"/>
            </w:tcMar>
            <w:vAlign w:val="center"/>
          </w:tcPr>
          <w:p>
            <w:pPr>
              <w:spacing w:before="0" w:after="0"/>
              <w:jc w:val="center"/>
            </w:pPr>
            <w:r>
              <w:rPr>
                <w:rFonts w:ascii="Arial" w:cs="Arial" w:eastAsia="Arial" w:hAnsi="Arial"/>
                <w:b/>
                <w:bCs/>
                <w:color w:val="FFFFFF"/>
                <w:sz w:val="16"/>
                <w:szCs w:val="16"/>
              </w:rPr>
              <w:t xml:space="preserve">Additional Consequences</w:t>
            </w:r>
          </w:p>
        </w:tc>
      </w:tr>
      <w:tr>
        <w:tc>
          <w:tcPr>
            <w:tcW w:type="dxa" w:w="14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jc w:val="center"/>
            </w:pPr>
            <w:r>
              <w:rPr>
                <w:rFonts w:ascii="Arial" w:cs="Arial" w:eastAsia="Arial" w:hAnsi="Arial"/>
                <w:b/>
                <w:bCs/>
                <w:color w:val="1B2A4A"/>
                <w:sz w:val="15"/>
                <w:szCs w:val="15"/>
              </w:rPr>
              <w:t xml:space="preserve">1st Offense</w:t>
            </w:r>
          </w:p>
        </w:tc>
        <w:tc>
          <w:tcPr>
            <w:tcW w:type="dxa" w:w="226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Conditional violation (e.g., hands-free misuse)</w:t>
            </w:r>
          </w:p>
        </w:tc>
        <w:tc>
          <w:tcPr>
            <w:tcW w:type="dxa" w:w="27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Verbal warning documented in personnel file</w:t>
            </w:r>
          </w:p>
        </w:tc>
        <w:tc>
          <w:tcPr>
            <w:tcW w:type="dxa" w:w="30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Mandatory distracted driving safety retraining within 7 days</w:t>
            </w:r>
          </w:p>
        </w:tc>
      </w:tr>
      <w:tr>
        <w:tc>
          <w:tcPr>
            <w:tcW w:type="dxa" w:w="140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jc w:val="center"/>
            </w:pPr>
            <w:r>
              <w:rPr>
                <w:rFonts w:ascii="Arial" w:cs="Arial" w:eastAsia="Arial" w:hAnsi="Arial"/>
                <w:b/>
                <w:bCs/>
                <w:color w:val="1B2A4A"/>
                <w:sz w:val="15"/>
                <w:szCs w:val="15"/>
              </w:rPr>
              <w:t xml:space="preserve">2nd Offense</w:t>
            </w:r>
          </w:p>
        </w:tc>
        <w:tc>
          <w:tcPr>
            <w:tcW w:type="dxa" w:w="226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Any violation of Section 3</w:t>
            </w:r>
          </w:p>
        </w:tc>
        <w:tc>
          <w:tcPr>
            <w:tcW w:type="dxa" w:w="270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Written warning with corrective action plan</w:t>
            </w:r>
          </w:p>
        </w:tc>
        <w:tc>
          <w:tcPr>
            <w:tcW w:type="dxa" w:w="300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Suspension of driving privileges for [3–14] days; retraining required</w:t>
            </w:r>
          </w:p>
        </w:tc>
      </w:tr>
      <w:tr>
        <w:tc>
          <w:tcPr>
            <w:tcW w:type="dxa" w:w="14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jc w:val="center"/>
            </w:pPr>
            <w:r>
              <w:rPr>
                <w:rFonts w:ascii="Arial" w:cs="Arial" w:eastAsia="Arial" w:hAnsi="Arial"/>
                <w:b/>
                <w:bCs/>
                <w:color w:val="1B2A4A"/>
                <w:sz w:val="15"/>
                <w:szCs w:val="15"/>
              </w:rPr>
              <w:t xml:space="preserve">3rd Offense</w:t>
            </w:r>
          </w:p>
        </w:tc>
        <w:tc>
          <w:tcPr>
            <w:tcW w:type="dxa" w:w="226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Any violation of Section 3</w:t>
            </w:r>
          </w:p>
        </w:tc>
        <w:tc>
          <w:tcPr>
            <w:tcW w:type="dxa" w:w="27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Final written warning; driving suspension</w:t>
            </w:r>
          </w:p>
        </w:tc>
        <w:tc>
          <w:tcPr>
            <w:tcW w:type="dxa" w:w="30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Suspension of driving privileges for [14–30] days; management review</w:t>
            </w:r>
          </w:p>
        </w:tc>
      </w:tr>
      <w:tr>
        <w:tc>
          <w:tcPr>
            <w:tcW w:type="dxa" w:w="140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jc w:val="center"/>
            </w:pPr>
            <w:r>
              <w:rPr>
                <w:rFonts w:ascii="Arial" w:cs="Arial" w:eastAsia="Arial" w:hAnsi="Arial"/>
                <w:b/>
                <w:bCs/>
                <w:color w:val="1B2A4A"/>
                <w:sz w:val="15"/>
                <w:szCs w:val="15"/>
              </w:rPr>
              <w:t xml:space="preserve">4th Offense</w:t>
            </w:r>
          </w:p>
        </w:tc>
        <w:tc>
          <w:tcPr>
            <w:tcW w:type="dxa" w:w="226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Any violation of Section 3</w:t>
            </w:r>
          </w:p>
        </w:tc>
        <w:tc>
          <w:tcPr>
            <w:tcW w:type="dxa" w:w="270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Termination of employment</w:t>
            </w:r>
          </w:p>
        </w:tc>
        <w:tc>
          <w:tcPr>
            <w:tcW w:type="dxa" w:w="300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Forfeiture of any safe driving incentives for current period</w:t>
            </w:r>
          </w:p>
        </w:tc>
      </w:tr>
      <w:tr>
        <w:tc>
          <w:tcPr>
            <w:tcW w:type="dxa" w:w="14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jc w:val="center"/>
            </w:pPr>
            <w:r>
              <w:rPr>
                <w:rFonts w:ascii="Arial" w:cs="Arial" w:eastAsia="Arial" w:hAnsi="Arial"/>
                <w:b/>
                <w:bCs/>
                <w:color w:val="1B2A4A"/>
                <w:sz w:val="15"/>
                <w:szCs w:val="15"/>
              </w:rPr>
              <w:t xml:space="preserve">1st Offense</w:t>
            </w:r>
          </w:p>
        </w:tc>
        <w:tc>
          <w:tcPr>
            <w:tcW w:type="dxa" w:w="226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Absolute prohibition (3.1)</w:t>
            </w:r>
          </w:p>
        </w:tc>
        <w:tc>
          <w:tcPr>
            <w:tcW w:type="dxa" w:w="27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Written warning minimum; suspension possible</w:t>
            </w:r>
          </w:p>
        </w:tc>
        <w:tc>
          <w:tcPr>
            <w:tcW w:type="dxa" w:w="300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Immediate removal from driving duty pending safety review</w:t>
            </w:r>
          </w:p>
        </w:tc>
      </w:tr>
      <w:tr>
        <w:tc>
          <w:tcPr>
            <w:tcW w:type="dxa" w:w="140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jc w:val="center"/>
            </w:pPr>
            <w:r>
              <w:rPr>
                <w:rFonts w:ascii="Arial" w:cs="Arial" w:eastAsia="Arial" w:hAnsi="Arial"/>
                <w:b/>
                <w:bCs/>
                <w:color w:val="1B2A4A"/>
                <w:sz w:val="15"/>
                <w:szCs w:val="15"/>
              </w:rPr>
              <w:t xml:space="preserve">Egregious</w:t>
            </w:r>
          </w:p>
        </w:tc>
        <w:tc>
          <w:tcPr>
            <w:tcW w:type="dxa" w:w="226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Texting/phone use causing an accident or near-miss</w:t>
            </w:r>
          </w:p>
        </w:tc>
        <w:tc>
          <w:tcPr>
            <w:tcW w:type="dxa" w:w="270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Immediate suspension pending investigation; termination probable</w:t>
            </w:r>
          </w:p>
        </w:tc>
        <w:tc>
          <w:tcPr>
            <w:tcW w:type="dxa" w:w="3000"/>
            <w:tcBorders>
              <w:top w:val="single" w:color="D9D9D9" w:sz="1"/>
              <w:left w:val="single" w:color="D9D9D9" w:sz="1"/>
              <w:bottom w:val="single" w:color="D9D9D9" w:sz="1"/>
              <w:right w:val="single" w:color="D9D9D9" w:sz="1"/>
            </w:tcBorders>
            <w:shd w:fill="FFFFFF"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FMCSA violation reported; insurance carrier notified</w:t>
            </w:r>
          </w:p>
        </w:tc>
      </w:tr>
    </w:tbl>
    <w:p>
      <w:pPr>
        <w:spacing w:before="60" w:after="0"/>
      </w:pPr>
    </w:p>
    <w:p>
      <w:pPr>
        <w:pStyle w:val="Heading2"/>
      </w:pPr>
      <w:r>
        <w:t xml:space="preserve">5.1  FMCSA Penalties</w:t>
      </w:r>
    </w:p>
    <w:p>
      <w:pPr>
        <w:spacing w:before="0" w:after="60"/>
      </w:pPr>
      <w:r>
        <w:rPr>
          <w:rFonts w:ascii="Arial" w:cs="Arial" w:eastAsia="Arial" w:hAnsi="Arial"/>
          <w:color w:val="333333"/>
          <w:sz w:val="17"/>
          <w:szCs w:val="17"/>
        </w:rPr>
        <w:t xml:space="preserve">Employees should be aware that FMCSA violations carry significant consequences beyond company discipline:</w:t>
      </w:r>
    </w:p>
    <w:p>
      <w:pPr>
        <w:pStyle w:val="ListParagraph"/>
        <w:numPr>
          <w:ilvl w:val="0"/>
          <w:numId w:val="7"/>
        </w:numPr>
        <w:spacing w:before="0" w:after="50"/>
      </w:pPr>
      <w:r>
        <w:rPr>
          <w:rFonts w:ascii="Arial" w:cs="Arial" w:eastAsia="Arial" w:hAnsi="Arial"/>
          <w:color w:val="333333"/>
          <w:sz w:val="17"/>
          <w:szCs w:val="17"/>
        </w:rPr>
        <w:t xml:space="preserve">Texting while driving a CMV: Up to $2,750 fine per violation for the driver; up to $11,000 for the carrier if the carrier allowed or required the texting (49 CFR 392.80)</w:t>
      </w:r>
    </w:p>
    <w:p>
      <w:pPr>
        <w:pStyle w:val="ListParagraph"/>
        <w:numPr>
          <w:ilvl w:val="0"/>
          <w:numId w:val="7"/>
        </w:numPr>
        <w:spacing w:before="0" w:after="50"/>
      </w:pPr>
      <w:r>
        <w:rPr>
          <w:rFonts w:ascii="Arial" w:cs="Arial" w:eastAsia="Arial" w:hAnsi="Arial"/>
          <w:color w:val="333333"/>
          <w:sz w:val="17"/>
          <w:szCs w:val="17"/>
        </w:rPr>
        <w:t xml:space="preserve">Handheld phone use while driving a CMV: Up to $2,750 fine per violation for the driver; up to $11,000 for the carrier (49 CFR 392.82)</w:t>
      </w:r>
    </w:p>
    <w:p>
      <w:pPr>
        <w:pStyle w:val="ListParagraph"/>
        <w:numPr>
          <w:ilvl w:val="0"/>
          <w:numId w:val="7"/>
        </w:numPr>
        <w:spacing w:before="0" w:after="50"/>
      </w:pPr>
      <w:r>
        <w:rPr>
          <w:rFonts w:ascii="Arial" w:cs="Arial" w:eastAsia="Arial" w:hAnsi="Arial"/>
          <w:color w:val="333333"/>
          <w:sz w:val="17"/>
          <w:szCs w:val="17"/>
        </w:rPr>
        <w:t xml:space="preserve">Multiple violations: CDL disqualification for 60 days after 2 serious traffic violations within 3 years; 120 days after 3 violations (49 CFR 383.51)</w:t>
      </w:r>
    </w:p>
    <w:p>
      <w:pPr>
        <w:pStyle w:val="ListParagraph"/>
        <w:numPr>
          <w:ilvl w:val="0"/>
          <w:numId w:val="7"/>
        </w:numPr>
        <w:spacing w:before="0" w:after="50"/>
      </w:pPr>
      <w:r>
        <w:rPr>
          <w:rFonts w:ascii="Arial" w:cs="Arial" w:eastAsia="Arial" w:hAnsi="Arial"/>
          <w:color w:val="333333"/>
          <w:sz w:val="17"/>
          <w:szCs w:val="17"/>
        </w:rPr>
        <w:t xml:space="preserve">CSA Impact: Each violation adds points to the company’s Unsafe Driving BASIC score, potentially triggering FMCSA intervention and increased insurance costs</w:t>
      </w:r>
    </w:p>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6: MONITORING &amp; TECHNOLOGY</w:t>
            </w:r>
          </w:p>
        </w:tc>
      </w:tr>
    </w:tbl>
    <w:p>
      <w:pPr>
        <w:spacing w:before="60" w:after="0"/>
      </w:pPr>
    </w:p>
    <w:p>
      <w:pPr>
        <w:spacing w:before="0" w:after="60"/>
      </w:pPr>
      <w:r>
        <w:rPr>
          <w:rFonts w:ascii="Arial" w:cs="Arial" w:eastAsia="Arial" w:hAnsi="Arial"/>
          <w:color w:val="333333"/>
          <w:sz w:val="17"/>
          <w:szCs w:val="17"/>
        </w:rPr>
        <w:t xml:space="preserve">[Company Name] utilizes the following technology systems to monitor compliance with this policy and to support driver safety:</w:t>
      </w:r>
    </w:p>
    <w:p>
      <w:pPr>
        <w:spacing w:before="20" w:after="0"/>
      </w:pPr>
    </w:p>
    <w:p>
      <w:pPr>
        <w:pStyle w:val="ListParagraph"/>
        <w:numPr>
          <w:ilvl w:val="0"/>
          <w:numId w:val="8"/>
        </w:numPr>
        <w:spacing w:before="0" w:after="50"/>
      </w:pPr>
      <w:r>
        <w:rPr>
          <w:rFonts w:ascii="Arial" w:cs="Arial" w:eastAsia="Arial" w:hAnsi="Arial"/>
          <w:color w:val="333333"/>
          <w:sz w:val="17"/>
          <w:szCs w:val="17"/>
        </w:rPr>
        <w:t xml:space="preserve">Telematics / GPS Tracking — All company vehicles are equipped with [telematics provider name] systems that monitor vehicle speed, location, hard braking, and driving behavior in real time.</w:t>
      </w:r>
    </w:p>
    <w:p>
      <w:pPr>
        <w:pStyle w:val="ListParagraph"/>
        <w:numPr>
          <w:ilvl w:val="0"/>
          <w:numId w:val="8"/>
        </w:numPr>
        <w:spacing w:before="0" w:after="50"/>
      </w:pPr>
      <w:r>
        <w:rPr>
          <w:rFonts w:ascii="Arial" w:cs="Arial" w:eastAsia="Arial" w:hAnsi="Arial"/>
          <w:color w:val="333333"/>
          <w:sz w:val="17"/>
          <w:szCs w:val="17"/>
        </w:rPr>
        <w:t xml:space="preserve">Dashcam / Event Recorders — [Forward-facing / Forward and driver-facing] cameras record driving events triggered by hard braking, acceleration, cornering, or collision detection. Footage may be reviewed for policy compliance.</w:t>
      </w:r>
    </w:p>
    <w:p>
      <w:pPr>
        <w:pStyle w:val="ListParagraph"/>
        <w:numPr>
          <w:ilvl w:val="0"/>
          <w:numId w:val="8"/>
        </w:numPr>
        <w:spacing w:before="0" w:after="50"/>
      </w:pPr>
      <w:r>
        <w:rPr>
          <w:rFonts w:ascii="Arial" w:cs="Arial" w:eastAsia="Arial" w:hAnsi="Arial"/>
          <w:color w:val="333333"/>
          <w:sz w:val="17"/>
          <w:szCs w:val="17"/>
        </w:rPr>
        <w:t xml:space="preserve">Cell Phone Detection Technology — [Company Name] [has deployed / is evaluating] in-cab cell phone detection systems that alert management when a handheld device is active while the vehicle is in motion.</w:t>
      </w:r>
    </w:p>
    <w:p>
      <w:pPr>
        <w:pStyle w:val="ListParagraph"/>
        <w:numPr>
          <w:ilvl w:val="0"/>
          <w:numId w:val="8"/>
        </w:numPr>
        <w:spacing w:before="0" w:after="50"/>
      </w:pPr>
      <w:r>
        <w:rPr>
          <w:rFonts w:ascii="Arial" w:cs="Arial" w:eastAsia="Arial" w:hAnsi="Arial"/>
          <w:color w:val="333333"/>
          <w:sz w:val="17"/>
          <w:szCs w:val="17"/>
        </w:rPr>
        <w:t xml:space="preserve">ELD Integration — Electronic logging devices record duty status and driving time. Any phone-related events correlated with active driving time may be used for compliance monitoring.</w:t>
      </w:r>
    </w:p>
    <w:p>
      <w:pPr>
        <w:pStyle w:val="ListParagraph"/>
        <w:numPr>
          <w:ilvl w:val="0"/>
          <w:numId w:val="8"/>
        </w:numPr>
        <w:spacing w:before="0" w:after="50"/>
      </w:pPr>
      <w:r>
        <w:rPr>
          <w:rFonts w:ascii="Arial" w:cs="Arial" w:eastAsia="Arial" w:hAnsi="Arial"/>
          <w:color w:val="333333"/>
          <w:sz w:val="17"/>
          <w:szCs w:val="17"/>
        </w:rPr>
        <w:t xml:space="preserve">Driver Scorecards — Telematics data is compiled into weekly/monthly driver safety scorecards. Cell phone and distraction-related events factor into overall safety scores and performance reviews.</w:t>
      </w:r>
    </w:p>
    <w:p>
      <w:pPr>
        <w:spacing w:before="20" w:after="0"/>
      </w:pPr>
    </w:p>
    <w:p>
      <w:pPr>
        <w:spacing w:before="0" w:after="60"/>
      </w:pPr>
      <w:r>
        <w:rPr>
          <w:rFonts w:ascii="Arial" w:cs="Arial" w:eastAsia="Arial" w:hAnsi="Arial"/>
          <w:color w:val="333333"/>
          <w:sz w:val="17"/>
          <w:szCs w:val="17"/>
        </w:rPr>
        <w:t xml:space="preserve">[Company Name] reserves the right to review telematics data, dashcam footage, and cell phone detection alerts at any time for safety, compliance, and investigation purposes. Employees consent to this monitoring as a condition of employment.</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7: TRAINING REQUIREMENTS</w:t>
            </w:r>
          </w:p>
        </w:tc>
      </w:tr>
    </w:tbl>
    <w:p>
      <w:pPr>
        <w:spacing w:before="60" w:after="0"/>
      </w:pPr>
    </w:p>
    <w:p>
      <w:pPr>
        <w:pStyle w:val="ListParagraph"/>
        <w:numPr>
          <w:ilvl w:val="0"/>
          <w:numId w:val="9"/>
        </w:numPr>
        <w:spacing w:before="0" w:after="60"/>
      </w:pPr>
      <w:r>
        <w:rPr>
          <w:rFonts w:ascii="Arial" w:cs="Arial" w:eastAsia="Arial" w:hAnsi="Arial"/>
          <w:color w:val="333333"/>
          <w:sz w:val="17"/>
          <w:szCs w:val="17"/>
        </w:rPr>
        <w:t xml:space="preserve">Initial Training — All new hires must complete distracted driving awareness training before being authorized to operate any company vehicle. Training must cover this policy, FMCSA regulations, and the consequences of distracted driving.</w:t>
      </w:r>
    </w:p>
    <w:p>
      <w:pPr>
        <w:pStyle w:val="ListParagraph"/>
        <w:numPr>
          <w:ilvl w:val="0"/>
          <w:numId w:val="9"/>
        </w:numPr>
        <w:spacing w:before="0" w:after="60"/>
      </w:pPr>
      <w:r>
        <w:rPr>
          <w:rFonts w:ascii="Arial" w:cs="Arial" w:eastAsia="Arial" w:hAnsi="Arial"/>
          <w:color w:val="333333"/>
          <w:sz w:val="17"/>
          <w:szCs w:val="17"/>
        </w:rPr>
        <w:t xml:space="preserve">Annual Refresher — All drivers must complete annual refresher training on distracted driving awareness and this policy. Training will be documented with sign-off sheets retained in the driver’s personnel file.</w:t>
      </w:r>
    </w:p>
    <w:p>
      <w:pPr>
        <w:pStyle w:val="ListParagraph"/>
        <w:numPr>
          <w:ilvl w:val="0"/>
          <w:numId w:val="9"/>
        </w:numPr>
        <w:spacing w:before="0" w:after="60"/>
      </w:pPr>
      <w:r>
        <w:rPr>
          <w:rFonts w:ascii="Arial" w:cs="Arial" w:eastAsia="Arial" w:hAnsi="Arial"/>
          <w:color w:val="333333"/>
          <w:sz w:val="17"/>
          <w:szCs w:val="17"/>
        </w:rPr>
        <w:t xml:space="preserve">Incident-Based Retraining — Any employee who violates this policy must complete additional safety retraining before being returned to driving duty. Retraining must be completed within [7 business days] of the violation.</w:t>
      </w:r>
    </w:p>
    <w:p>
      <w:pPr>
        <w:pStyle w:val="ListParagraph"/>
        <w:numPr>
          <w:ilvl w:val="0"/>
          <w:numId w:val="9"/>
        </w:numPr>
        <w:spacing w:before="0" w:after="60"/>
      </w:pPr>
      <w:r>
        <w:rPr>
          <w:rFonts w:ascii="Arial" w:cs="Arial" w:eastAsia="Arial" w:hAnsi="Arial"/>
          <w:color w:val="333333"/>
          <w:sz w:val="17"/>
          <w:szCs w:val="17"/>
        </w:rPr>
        <w:t xml:space="preserve">Supervisor Training — All supervisors and dispatchers must complete training on recognizing distracted driving behaviors, proper documentation procedures, and enforcement of this policy.</w:t>
      </w:r>
    </w:p>
    <w:p>
      <w:pPr>
        <w:pStyle w:val="ListParagraph"/>
        <w:numPr>
          <w:ilvl w:val="0"/>
          <w:numId w:val="9"/>
        </w:numPr>
        <w:spacing w:before="0" w:after="60"/>
      </w:pPr>
      <w:r>
        <w:rPr>
          <w:rFonts w:ascii="Arial" w:cs="Arial" w:eastAsia="Arial" w:hAnsi="Arial"/>
          <w:color w:val="333333"/>
          <w:sz w:val="17"/>
          <w:szCs w:val="17"/>
        </w:rPr>
        <w:t xml:space="preserve">New Technology Training — When new monitoring technology or hands-free systems are deployed, all affected employees must receive training on proper use before the systems go live.</w:t>
      </w:r>
    </w:p>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8: REPORTING &amp; ACCOUNTABILITY</w:t>
            </w:r>
          </w:p>
        </w:tc>
      </w:tr>
    </w:tbl>
    <w:p>
      <w:pPr>
        <w:spacing w:before="60" w:after="0"/>
      </w:pPr>
    </w:p>
    <w:p>
      <w:pPr>
        <w:pStyle w:val="Heading2"/>
      </w:pPr>
      <w:r>
        <w:t xml:space="preserve">8.1  Employee Reporting Obligations</w:t>
      </w:r>
    </w:p>
    <w:p>
      <w:pPr>
        <w:spacing w:before="0" w:after="60"/>
      </w:pPr>
      <w:r>
        <w:rPr>
          <w:rFonts w:ascii="Arial" w:cs="Arial" w:eastAsia="Arial" w:hAnsi="Arial"/>
          <w:color w:val="333333"/>
          <w:sz w:val="17"/>
          <w:szCs w:val="17"/>
        </w:rPr>
        <w:t xml:space="preserve">Employees must report the following to their supervisor or the safety department within 24 hours:</w:t>
      </w:r>
    </w:p>
    <w:p>
      <w:pPr>
        <w:pStyle w:val="ListParagraph"/>
        <w:numPr>
          <w:ilvl w:val="0"/>
          <w:numId w:val="10"/>
        </w:numPr>
        <w:spacing w:before="0" w:after="40"/>
      </w:pPr>
      <w:r>
        <w:rPr>
          <w:rFonts w:ascii="Arial" w:cs="Arial" w:eastAsia="Arial" w:hAnsi="Arial"/>
          <w:color w:val="333333"/>
          <w:sz w:val="17"/>
          <w:szCs w:val="17"/>
        </w:rPr>
        <w:t xml:space="preserve">Any citation or ticket received for distracted driving, texting, or cell phone use in any vehicle (company or personal)</w:t>
      </w:r>
    </w:p>
    <w:p>
      <w:pPr>
        <w:pStyle w:val="ListParagraph"/>
        <w:numPr>
          <w:ilvl w:val="0"/>
          <w:numId w:val="10"/>
        </w:numPr>
        <w:spacing w:before="0" w:after="40"/>
      </w:pPr>
      <w:r>
        <w:rPr>
          <w:rFonts w:ascii="Arial" w:cs="Arial" w:eastAsia="Arial" w:hAnsi="Arial"/>
          <w:color w:val="333333"/>
          <w:sz w:val="17"/>
          <w:szCs w:val="17"/>
        </w:rPr>
        <w:t xml:space="preserve">Any accident or near-miss event involving cell phone or electronic device use</w:t>
      </w:r>
    </w:p>
    <w:p>
      <w:pPr>
        <w:pStyle w:val="ListParagraph"/>
        <w:numPr>
          <w:ilvl w:val="0"/>
          <w:numId w:val="10"/>
        </w:numPr>
        <w:spacing w:before="0" w:after="40"/>
      </w:pPr>
      <w:r>
        <w:rPr>
          <w:rFonts w:ascii="Arial" w:cs="Arial" w:eastAsia="Arial" w:hAnsi="Arial"/>
          <w:color w:val="333333"/>
          <w:sz w:val="17"/>
          <w:szCs w:val="17"/>
        </w:rPr>
        <w:t xml:space="preserve">Observed violations of this policy by other employees, contractors, or temporary workers</w:t>
      </w:r>
    </w:p>
    <w:p>
      <w:pPr>
        <w:pStyle w:val="ListParagraph"/>
        <w:numPr>
          <w:ilvl w:val="0"/>
          <w:numId w:val="10"/>
        </w:numPr>
        <w:spacing w:before="0" w:after="40"/>
      </w:pPr>
      <w:r>
        <w:rPr>
          <w:rFonts w:ascii="Arial" w:cs="Arial" w:eastAsia="Arial" w:hAnsi="Arial"/>
          <w:color w:val="333333"/>
          <w:sz w:val="17"/>
          <w:szCs w:val="17"/>
        </w:rPr>
        <w:t xml:space="preserve">Any malfunction of hands-free systems, vehicle-mounted devices, or company-provided communication equipment</w:t>
      </w:r>
    </w:p>
    <w:p>
      <w:pPr>
        <w:spacing w:before="40" w:after="0"/>
      </w:pPr>
    </w:p>
    <w:p>
      <w:pPr>
        <w:pStyle w:val="Heading2"/>
      </w:pPr>
      <w:r>
        <w:t xml:space="preserve">8.2  Management Responsibilities</w:t>
      </w:r>
    </w:p>
    <w:p>
      <w:pPr>
        <w:pStyle w:val="ListParagraph"/>
        <w:numPr>
          <w:ilvl w:val="0"/>
          <w:numId w:val="10"/>
        </w:numPr>
        <w:spacing w:before="0" w:after="40"/>
      </w:pPr>
      <w:r>
        <w:rPr>
          <w:rFonts w:ascii="Arial" w:cs="Arial" w:eastAsia="Arial" w:hAnsi="Arial"/>
          <w:color w:val="333333"/>
          <w:sz w:val="17"/>
          <w:szCs w:val="17"/>
        </w:rPr>
        <w:t xml:space="preserve">Lead by example — never call, text, or otherwise contact drivers when you know they are behind the wheel</w:t>
      </w:r>
    </w:p>
    <w:p>
      <w:pPr>
        <w:pStyle w:val="ListParagraph"/>
        <w:numPr>
          <w:ilvl w:val="0"/>
          <w:numId w:val="10"/>
        </w:numPr>
        <w:spacing w:before="0" w:after="40"/>
      </w:pPr>
      <w:r>
        <w:rPr>
          <w:rFonts w:ascii="Arial" w:cs="Arial" w:eastAsia="Arial" w:hAnsi="Arial"/>
          <w:color w:val="333333"/>
          <w:sz w:val="17"/>
          <w:szCs w:val="17"/>
        </w:rPr>
        <w:t xml:space="preserve">Review telematics and dashcam alerts weekly for distraction-related events</w:t>
      </w:r>
    </w:p>
    <w:p>
      <w:pPr>
        <w:pStyle w:val="ListParagraph"/>
        <w:numPr>
          <w:ilvl w:val="0"/>
          <w:numId w:val="10"/>
        </w:numPr>
        <w:spacing w:before="0" w:after="40"/>
      </w:pPr>
      <w:r>
        <w:rPr>
          <w:rFonts w:ascii="Arial" w:cs="Arial" w:eastAsia="Arial" w:hAnsi="Arial"/>
          <w:color w:val="333333"/>
          <w:sz w:val="17"/>
          <w:szCs w:val="17"/>
        </w:rPr>
        <w:t xml:space="preserve">Conduct documented coaching sessions for any flagged distracted driving behaviors</w:t>
      </w:r>
    </w:p>
    <w:p>
      <w:pPr>
        <w:pStyle w:val="ListParagraph"/>
        <w:numPr>
          <w:ilvl w:val="0"/>
          <w:numId w:val="10"/>
        </w:numPr>
        <w:spacing w:before="0" w:after="40"/>
      </w:pPr>
      <w:r>
        <w:rPr>
          <w:rFonts w:ascii="Arial" w:cs="Arial" w:eastAsia="Arial" w:hAnsi="Arial"/>
          <w:color w:val="333333"/>
          <w:sz w:val="17"/>
          <w:szCs w:val="17"/>
        </w:rPr>
        <w:t xml:space="preserve">Ensure all training records are current and filed in driver personnel records</w:t>
      </w:r>
    </w:p>
    <w:p>
      <w:pPr>
        <w:pStyle w:val="ListParagraph"/>
        <w:numPr>
          <w:ilvl w:val="0"/>
          <w:numId w:val="10"/>
        </w:numPr>
        <w:spacing w:before="0" w:after="40"/>
      </w:pPr>
      <w:r>
        <w:rPr>
          <w:rFonts w:ascii="Arial" w:cs="Arial" w:eastAsia="Arial" w:hAnsi="Arial"/>
          <w:color w:val="333333"/>
          <w:sz w:val="17"/>
          <w:szCs w:val="17"/>
        </w:rPr>
        <w:t xml:space="preserve">Report all FMCSA-reportable violations to the safety department and insurance broker promptly</w:t>
      </w:r>
    </w:p>
    <w:p>
      <w:pPr>
        <w:spacing w:before="6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9: STATE &amp; LOCAL COMPLIANCE</w:t>
            </w:r>
          </w:p>
        </w:tc>
      </w:tr>
    </w:tbl>
    <w:p>
      <w:pPr>
        <w:spacing w:before="60" w:after="0"/>
      </w:pPr>
    </w:p>
    <w:p>
      <w:pPr>
        <w:spacing w:before="0" w:after="60"/>
      </w:pPr>
      <w:r>
        <w:rPr>
          <w:rFonts w:ascii="Arial" w:cs="Arial" w:eastAsia="Arial" w:hAnsi="Arial"/>
          <w:color w:val="333333"/>
          <w:sz w:val="17"/>
          <w:szCs w:val="17"/>
        </w:rPr>
        <w:t xml:space="preserve">This policy meets or exceeds all current FMCSA federal requirements. However, many states, counties, and municipalities have enacted additional laws regarding cell phone and electronic device use while driving. These laws may include:</w:t>
      </w:r>
    </w:p>
    <w:p>
      <w:pPr>
        <w:pStyle w:val="ListParagraph"/>
        <w:numPr>
          <w:ilvl w:val="0"/>
          <w:numId w:val="10"/>
        </w:numPr>
        <w:spacing w:before="0" w:after="40"/>
      </w:pPr>
      <w:r>
        <w:rPr>
          <w:rFonts w:ascii="Arial" w:cs="Arial" w:eastAsia="Arial" w:hAnsi="Arial"/>
          <w:color w:val="333333"/>
          <w:sz w:val="17"/>
          <w:szCs w:val="17"/>
        </w:rPr>
        <w:t xml:space="preserve">Complete bans on handheld device use for all drivers (not just CMV operators)</w:t>
      </w:r>
    </w:p>
    <w:p>
      <w:pPr>
        <w:pStyle w:val="ListParagraph"/>
        <w:numPr>
          <w:ilvl w:val="0"/>
          <w:numId w:val="10"/>
        </w:numPr>
        <w:spacing w:before="0" w:after="40"/>
      </w:pPr>
      <w:r>
        <w:rPr>
          <w:rFonts w:ascii="Arial" w:cs="Arial" w:eastAsia="Arial" w:hAnsi="Arial"/>
          <w:color w:val="333333"/>
          <w:sz w:val="17"/>
          <w:szCs w:val="17"/>
        </w:rPr>
        <w:t xml:space="preserve">Restrictions on hands-free use in school zones, work zones, or for novice drivers</w:t>
      </w:r>
    </w:p>
    <w:p>
      <w:pPr>
        <w:pStyle w:val="ListParagraph"/>
        <w:numPr>
          <w:ilvl w:val="0"/>
          <w:numId w:val="10"/>
        </w:numPr>
        <w:spacing w:before="0" w:after="40"/>
      </w:pPr>
      <w:r>
        <w:rPr>
          <w:rFonts w:ascii="Arial" w:cs="Arial" w:eastAsia="Arial" w:hAnsi="Arial"/>
          <w:color w:val="333333"/>
          <w:sz w:val="17"/>
          <w:szCs w:val="17"/>
        </w:rPr>
        <w:t xml:space="preserve">Enhanced penalties for distracted driving in accident and injury situations</w:t>
      </w:r>
    </w:p>
    <w:p>
      <w:pPr>
        <w:pStyle w:val="ListParagraph"/>
        <w:numPr>
          <w:ilvl w:val="0"/>
          <w:numId w:val="10"/>
        </w:numPr>
        <w:spacing w:before="0" w:after="40"/>
      </w:pPr>
      <w:r>
        <w:rPr>
          <w:rFonts w:ascii="Arial" w:cs="Arial" w:eastAsia="Arial" w:hAnsi="Arial"/>
          <w:color w:val="333333"/>
          <w:sz w:val="17"/>
          <w:szCs w:val="17"/>
        </w:rPr>
        <w:t xml:space="preserve">Specific requirements for mounted device positioning and dashboard obstructions</w:t>
      </w:r>
    </w:p>
    <w:p>
      <w:pPr>
        <w:spacing w:before="20" w:after="0"/>
      </w:pPr>
    </w:p>
    <w:p>
      <w:pPr>
        <w:spacing w:before="0" w:after="60"/>
      </w:pPr>
      <w:r>
        <w:rPr>
          <w:rFonts w:ascii="Arial" w:cs="Arial" w:eastAsia="Arial" w:hAnsi="Arial"/>
          <w:color w:val="333333"/>
          <w:sz w:val="17"/>
          <w:szCs w:val="17"/>
        </w:rPr>
        <w:t xml:space="preserve">Employees are responsible for knowing and complying with the laws of every jurisdiction in which they operate. When state or local laws are more restrictive than this policy, the more restrictive standard applies. [Company Name] will provide state-specific guidance for the regions in which it operates upon request.</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10: INSURANCE PROGRAM INTEGRATION</w:t>
            </w:r>
          </w:p>
        </w:tc>
      </w:tr>
    </w:tbl>
    <w:p>
      <w:pPr>
        <w:spacing w:before="60" w:after="0"/>
      </w:pPr>
    </w:p>
    <w:p>
      <w:pPr>
        <w:spacing w:before="0" w:after="60"/>
      </w:pPr>
      <w:r>
        <w:rPr>
          <w:rFonts w:ascii="Arial" w:cs="Arial" w:eastAsia="Arial" w:hAnsi="Arial"/>
          <w:color w:val="333333"/>
          <w:sz w:val="17"/>
          <w:szCs w:val="17"/>
        </w:rPr>
        <w:t xml:space="preserve">Compliance with this cell phone and electronic device policy directly impacts [Company Name]’s commercial auto insurance program and overall risk profile:</w:t>
      </w:r>
    </w:p>
    <w:p>
      <w:pPr>
        <w:spacing w:before="20" w:after="0"/>
      </w:pPr>
    </w:p>
    <w:p>
      <w:pPr>
        <w:pStyle w:val="ListParagraph"/>
        <w:numPr>
          <w:ilvl w:val="0"/>
          <w:numId w:val="10"/>
        </w:numPr>
        <w:spacing w:before="0" w:after="50"/>
      </w:pPr>
      <w:r>
        <w:rPr>
          <w:rFonts w:ascii="Arial" w:cs="Arial" w:eastAsia="Arial" w:hAnsi="Arial"/>
          <w:color w:val="333333"/>
          <w:sz w:val="17"/>
          <w:szCs w:val="17"/>
        </w:rPr>
        <w:t xml:space="preserve">Distracted driving violations increase the company’s CSA Unsafe Driving BASIC score, which can lead to FMCSA intervention, higher insurance premiums, and reduced carrier access.</w:t>
      </w:r>
    </w:p>
    <w:p>
      <w:pPr>
        <w:pStyle w:val="ListParagraph"/>
        <w:numPr>
          <w:ilvl w:val="0"/>
          <w:numId w:val="10"/>
        </w:numPr>
        <w:spacing w:before="0" w:after="50"/>
      </w:pPr>
      <w:r>
        <w:rPr>
          <w:rFonts w:ascii="Arial" w:cs="Arial" w:eastAsia="Arial" w:hAnsi="Arial"/>
          <w:color w:val="333333"/>
          <w:sz w:val="17"/>
          <w:szCs w:val="17"/>
        </w:rPr>
        <w:t xml:space="preserve">Drivers with texting or cell phone violations on their MVR may be deemed ineligible by insurance carriers, potentially requiring removal from driving duties.</w:t>
      </w:r>
    </w:p>
    <w:p>
      <w:pPr>
        <w:pStyle w:val="ListParagraph"/>
        <w:numPr>
          <w:ilvl w:val="0"/>
          <w:numId w:val="10"/>
        </w:numPr>
        <w:spacing w:before="0" w:after="50"/>
      </w:pPr>
      <w:r>
        <w:rPr>
          <w:rFonts w:ascii="Arial" w:cs="Arial" w:eastAsia="Arial" w:hAnsi="Arial"/>
          <w:color w:val="333333"/>
          <w:sz w:val="17"/>
          <w:szCs w:val="17"/>
        </w:rPr>
        <w:t xml:space="preserve">At-fault accidents involving distracted driving can result in claims that significantly impact loss ratios and future premium calculations.</w:t>
      </w:r>
    </w:p>
    <w:p>
      <w:pPr>
        <w:pStyle w:val="ListParagraph"/>
        <w:numPr>
          <w:ilvl w:val="0"/>
          <w:numId w:val="10"/>
        </w:numPr>
        <w:spacing w:before="0" w:after="50"/>
      </w:pPr>
      <w:r>
        <w:rPr>
          <w:rFonts w:ascii="Arial" w:cs="Arial" w:eastAsia="Arial" w:hAnsi="Arial"/>
          <w:color w:val="333333"/>
          <w:sz w:val="17"/>
          <w:szCs w:val="17"/>
        </w:rPr>
        <w:t xml:space="preserve">Proactive enforcement of this policy, combined with telematics monitoring, demonstrates risk management maturity that insurance carriers recognize with favorable underwriting consideration.</w:t>
      </w:r>
    </w:p>
    <w:p>
      <w:pPr>
        <w:pStyle w:val="ListParagraph"/>
        <w:numPr>
          <w:ilvl w:val="0"/>
          <w:numId w:val="10"/>
        </w:numPr>
        <w:spacing w:before="0" w:after="50"/>
      </w:pPr>
      <w:r>
        <w:rPr>
          <w:rFonts w:ascii="Arial" w:cs="Arial" w:eastAsia="Arial" w:hAnsi="Arial"/>
          <w:color w:val="333333"/>
          <w:sz w:val="17"/>
          <w:szCs w:val="17"/>
        </w:rPr>
        <w:t xml:space="preserve">Documentation of training, policy acknowledgments, and corrective actions provides evidence of due diligence in the event of litigation following an accident.</w:t>
      </w:r>
    </w:p>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2"/>
              <w:left w:val="single" w:color="C5972C" w:sz="2"/>
              <w:bottom w:val="single" w:color="C5972C" w:sz="2"/>
              <w:right w:val="single" w:color="C5972C" w:sz="2"/>
            </w:tcBorders>
            <w:shd w:fill="F5EBD7" w:val="clear"/>
            <w:tcMar>
              <w:top w:type="dxa" w:w="80"/>
              <w:left w:type="dxa" w:w="140"/>
              <w:bottom w:type="dxa" w:w="80"/>
              <w:right w:type="dxa" w:w="140"/>
            </w:tcMar>
            <w:vAlign w:val="center"/>
          </w:tcPr>
          <w:p>
            <w:pPr>
              <w:spacing w:before="0" w:after="0"/>
            </w:pPr>
            <w:r>
              <w:rPr>
                <w:rFonts w:ascii="Arial" w:cs="Arial" w:eastAsia="Arial" w:hAnsi="Arial"/>
                <w:b/>
                <w:bCs/>
                <w:color w:val="C5972C"/>
                <w:sz w:val="16"/>
                <w:szCs w:val="16"/>
              </w:rPr>
              <w:t xml:space="preserve">INSURANCE NOTICE:  </w:t>
            </w:r>
            <w:r>
              <w:rPr>
                <w:rFonts w:ascii="Arial" w:cs="Arial" w:eastAsia="Arial" w:hAnsi="Arial"/>
                <w:color w:val="333333"/>
                <w:sz w:val="16"/>
                <w:szCs w:val="16"/>
              </w:rPr>
              <w:t xml:space="preserve">For questions about how this policy integrates with your commercial auto insurance program, contact First Underwriters Insurance Brokers at (425) 242-5357 or email pauls@firstunderwriters.com. We specialize in commercial trucking risks and can help optimize your fleet insurance program.</w:t>
            </w:r>
          </w:p>
        </w:tc>
      </w:tr>
    </w:tbl>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SECTION 11: POLICY REVIEW &amp; UPDATES</w:t>
            </w:r>
          </w:p>
        </w:tc>
      </w:tr>
    </w:tbl>
    <w:p>
      <w:pPr>
        <w:spacing w:before="60" w:after="0"/>
      </w:pPr>
    </w:p>
    <w:p>
      <w:pPr>
        <w:spacing w:before="0" w:after="60"/>
      </w:pPr>
      <w:r>
        <w:rPr>
          <w:rFonts w:ascii="Arial" w:cs="Arial" w:eastAsia="Arial" w:hAnsi="Arial"/>
          <w:color w:val="333333"/>
          <w:sz w:val="17"/>
          <w:szCs w:val="17"/>
        </w:rPr>
        <w:t xml:space="preserve">This policy will be reviewed and updated according to the following schedule:</w:t>
      </w:r>
    </w:p>
    <w:p>
      <w:pPr>
        <w:pStyle w:val="ListParagraph"/>
        <w:numPr>
          <w:ilvl w:val="0"/>
          <w:numId w:val="10"/>
        </w:numPr>
        <w:spacing w:before="0" w:after="40"/>
      </w:pPr>
      <w:r>
        <w:rPr>
          <w:rFonts w:ascii="Arial" w:cs="Arial" w:eastAsia="Arial" w:hAnsi="Arial"/>
          <w:color w:val="333333"/>
          <w:sz w:val="17"/>
          <w:szCs w:val="17"/>
        </w:rPr>
        <w:t xml:space="preserve">Annual review by the safety manager and legal counsel, at minimum</w:t>
      </w:r>
    </w:p>
    <w:p>
      <w:pPr>
        <w:pStyle w:val="ListParagraph"/>
        <w:numPr>
          <w:ilvl w:val="0"/>
          <w:numId w:val="10"/>
        </w:numPr>
        <w:spacing w:before="0" w:after="40"/>
      </w:pPr>
      <w:r>
        <w:rPr>
          <w:rFonts w:ascii="Arial" w:cs="Arial" w:eastAsia="Arial" w:hAnsi="Arial"/>
          <w:color w:val="333333"/>
          <w:sz w:val="17"/>
          <w:szCs w:val="17"/>
        </w:rPr>
        <w:t xml:space="preserve">Immediate review following any regulatory change affecting cell phone or electronic device use</w:t>
      </w:r>
    </w:p>
    <w:p>
      <w:pPr>
        <w:pStyle w:val="ListParagraph"/>
        <w:numPr>
          <w:ilvl w:val="0"/>
          <w:numId w:val="10"/>
        </w:numPr>
        <w:spacing w:before="0" w:after="40"/>
      </w:pPr>
      <w:r>
        <w:rPr>
          <w:rFonts w:ascii="Arial" w:cs="Arial" w:eastAsia="Arial" w:hAnsi="Arial"/>
          <w:color w:val="333333"/>
          <w:sz w:val="17"/>
          <w:szCs w:val="17"/>
        </w:rPr>
        <w:t xml:space="preserve">Review following any distracted driving-related accident or significant near-miss</w:t>
      </w:r>
    </w:p>
    <w:p>
      <w:pPr>
        <w:pStyle w:val="ListParagraph"/>
        <w:numPr>
          <w:ilvl w:val="0"/>
          <w:numId w:val="10"/>
        </w:numPr>
        <w:spacing w:before="0" w:after="40"/>
      </w:pPr>
      <w:r>
        <w:rPr>
          <w:rFonts w:ascii="Arial" w:cs="Arial" w:eastAsia="Arial" w:hAnsi="Arial"/>
          <w:color w:val="333333"/>
          <w:sz w:val="17"/>
          <w:szCs w:val="17"/>
        </w:rPr>
        <w:t xml:space="preserve">Review upon deployment of new monitoring technology or communications equipment</w:t>
      </w:r>
    </w:p>
    <w:p>
      <w:pPr>
        <w:pStyle w:val="ListParagraph"/>
        <w:numPr>
          <w:ilvl w:val="0"/>
          <w:numId w:val="10"/>
        </w:numPr>
        <w:spacing w:before="0" w:after="40"/>
      </w:pPr>
      <w:r>
        <w:rPr>
          <w:rFonts w:ascii="Arial" w:cs="Arial" w:eastAsia="Arial" w:hAnsi="Arial"/>
          <w:color w:val="333333"/>
          <w:sz w:val="17"/>
          <w:szCs w:val="17"/>
        </w:rPr>
        <w:t xml:space="preserve">All revisions will be documented with version number, date, and approval signature</w:t>
      </w:r>
    </w:p>
    <w:p>
      <w:pPr>
        <w:pStyle w:val="ListParagraph"/>
        <w:numPr>
          <w:ilvl w:val="0"/>
          <w:numId w:val="10"/>
        </w:numPr>
        <w:spacing w:before="0" w:after="40"/>
      </w:pPr>
      <w:r>
        <w:rPr>
          <w:rFonts w:ascii="Arial" w:cs="Arial" w:eastAsia="Arial" w:hAnsi="Arial"/>
          <w:color w:val="333333"/>
          <w:sz w:val="17"/>
          <w:szCs w:val="17"/>
        </w:rPr>
        <w:t xml:space="preserve">Updated policies must be redistributed to all employees with a new acknowledgment signature within [30 days] of revision</w:t>
      </w:r>
    </w:p>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60"/>
              <w:left w:type="dxa" w:w="120"/>
              <w:bottom w:type="dxa" w:w="60"/>
              <w:right w:type="dxa" w:w="120"/>
            </w:tcMar>
            <w:vAlign w:val="center"/>
          </w:tcPr>
          <w:p>
            <w:pPr>
              <w:spacing w:before="0" w:after="0"/>
            </w:pPr>
            <w:r>
              <w:rPr>
                <w:rFonts w:ascii="Arial" w:cs="Arial" w:eastAsia="Arial" w:hAnsi="Arial"/>
                <w:b/>
                <w:bCs/>
                <w:color w:val="FFFFFF"/>
                <w:sz w:val="20"/>
                <w:szCs w:val="20"/>
              </w:rPr>
              <w:t xml:space="preserve">EMPLOYEE ACKNOWLEDGMENT &amp; AGREEMENT</w:t>
            </w:r>
          </w:p>
        </w:tc>
      </w:tr>
    </w:tbl>
    <w:p>
      <w:pPr>
        <w:spacing w:before="80" w:after="0"/>
      </w:pPr>
    </w:p>
    <w:p>
      <w:pPr>
        <w:spacing w:before="0" w:after="60"/>
      </w:pPr>
      <w:r>
        <w:rPr>
          <w:rFonts w:ascii="Arial" w:cs="Arial" w:eastAsia="Arial" w:hAnsi="Arial"/>
          <w:color w:val="333333"/>
          <w:sz w:val="17"/>
          <w:szCs w:val="17"/>
        </w:rPr>
        <w:t xml:space="preserve">By signing below, I acknowledge and agree to the following:</w:t>
      </w:r>
    </w:p>
    <w:p>
      <w:pPr>
        <w:spacing w:before="40" w:after="0"/>
      </w:pPr>
    </w:p>
    <w:p>
      <w:pPr>
        <w:spacing w:before="0" w:after="60"/>
        <w:ind w:left="360"/>
      </w:pPr>
      <w:r>
        <w:rPr>
          <w:rFonts w:ascii="Arial" w:cs="Arial" w:eastAsia="Arial" w:hAnsi="Arial"/>
          <w:b/>
          <w:bCs/>
          <w:color w:val="1B2A4A"/>
          <w:sz w:val="17"/>
          <w:szCs w:val="17"/>
        </w:rPr>
        <w:t xml:space="preserve">1.  </w:t>
      </w:r>
      <w:r>
        <w:rPr>
          <w:rFonts w:ascii="Arial" w:cs="Arial" w:eastAsia="Arial" w:hAnsi="Arial"/>
          <w:color w:val="333333"/>
          <w:sz w:val="17"/>
          <w:szCs w:val="17"/>
        </w:rPr>
        <w:t xml:space="preserve">I have received, read, and understand [Company Name]’s Cell Phone &amp; Electronic Device Policy in its entirety.</w:t>
      </w:r>
    </w:p>
    <w:p>
      <w:pPr>
        <w:spacing w:before="0" w:after="60"/>
        <w:ind w:left="360"/>
      </w:pPr>
      <w:r>
        <w:rPr>
          <w:rFonts w:ascii="Arial" w:cs="Arial" w:eastAsia="Arial" w:hAnsi="Arial"/>
          <w:b/>
          <w:bCs/>
          <w:color w:val="1B2A4A"/>
          <w:sz w:val="17"/>
          <w:szCs w:val="17"/>
        </w:rPr>
        <w:t xml:space="preserve">2.  </w:t>
      </w:r>
      <w:r>
        <w:rPr>
          <w:rFonts w:ascii="Arial" w:cs="Arial" w:eastAsia="Arial" w:hAnsi="Arial"/>
          <w:color w:val="333333"/>
          <w:sz w:val="17"/>
          <w:szCs w:val="17"/>
        </w:rPr>
        <w:t xml:space="preserve">I understand that texting and handheld cell phone use while driving a CMV are violations of federal law (49 CFR 392.80 and 392.82) carrying fines up to $2,750 per violation.</w:t>
      </w:r>
    </w:p>
    <w:p>
      <w:pPr>
        <w:spacing w:before="0" w:after="60"/>
        <w:ind w:left="360"/>
      </w:pPr>
      <w:r>
        <w:rPr>
          <w:rFonts w:ascii="Arial" w:cs="Arial" w:eastAsia="Arial" w:hAnsi="Arial"/>
          <w:b/>
          <w:bCs/>
          <w:color w:val="1B2A4A"/>
          <w:sz w:val="17"/>
          <w:szCs w:val="17"/>
        </w:rPr>
        <w:t xml:space="preserve">3.  </w:t>
      </w:r>
      <w:r>
        <w:rPr>
          <w:rFonts w:ascii="Arial" w:cs="Arial" w:eastAsia="Arial" w:hAnsi="Arial"/>
          <w:color w:val="333333"/>
          <w:sz w:val="17"/>
          <w:szCs w:val="17"/>
        </w:rPr>
        <w:t xml:space="preserve">I understand that [Company Name] enforces a zero-tolerance policy for texting and handheld phone use while driving, and that violations may result in disciplinary action up to and including termination.</w:t>
      </w:r>
    </w:p>
    <w:p>
      <w:pPr>
        <w:spacing w:before="0" w:after="60"/>
        <w:ind w:left="360"/>
      </w:pPr>
      <w:r>
        <w:rPr>
          <w:rFonts w:ascii="Arial" w:cs="Arial" w:eastAsia="Arial" w:hAnsi="Arial"/>
          <w:b/>
          <w:bCs/>
          <w:color w:val="1B2A4A"/>
          <w:sz w:val="17"/>
          <w:szCs w:val="17"/>
        </w:rPr>
        <w:t xml:space="preserve">4.  </w:t>
      </w:r>
      <w:r>
        <w:rPr>
          <w:rFonts w:ascii="Arial" w:cs="Arial" w:eastAsia="Arial" w:hAnsi="Arial"/>
          <w:color w:val="333333"/>
          <w:sz w:val="17"/>
          <w:szCs w:val="17"/>
        </w:rPr>
        <w:t xml:space="preserve">I understand that [Company Name] utilizes telematics, dashcam, and/or cell phone detection technology to monitor compliance with this policy, and I consent to this monitoring as a condition of my employment.</w:t>
      </w:r>
    </w:p>
    <w:p>
      <w:pPr>
        <w:spacing w:before="0" w:after="60"/>
        <w:ind w:left="360"/>
      </w:pPr>
      <w:r>
        <w:rPr>
          <w:rFonts w:ascii="Arial" w:cs="Arial" w:eastAsia="Arial" w:hAnsi="Arial"/>
          <w:b/>
          <w:bCs/>
          <w:color w:val="1B2A4A"/>
          <w:sz w:val="17"/>
          <w:szCs w:val="17"/>
        </w:rPr>
        <w:t xml:space="preserve">5.  </w:t>
      </w:r>
      <w:r>
        <w:rPr>
          <w:rFonts w:ascii="Arial" w:cs="Arial" w:eastAsia="Arial" w:hAnsi="Arial"/>
          <w:color w:val="333333"/>
          <w:sz w:val="17"/>
          <w:szCs w:val="17"/>
        </w:rPr>
        <w:t xml:space="preserve">I agree to report any distracted driving citations, accidents, or near-miss events to my supervisor within 24 hours.</w:t>
      </w:r>
    </w:p>
    <w:p>
      <w:pPr>
        <w:spacing w:before="0" w:after="60"/>
        <w:ind w:left="360"/>
      </w:pPr>
      <w:r>
        <w:rPr>
          <w:rFonts w:ascii="Arial" w:cs="Arial" w:eastAsia="Arial" w:hAnsi="Arial"/>
          <w:b/>
          <w:bCs/>
          <w:color w:val="1B2A4A"/>
          <w:sz w:val="17"/>
          <w:szCs w:val="17"/>
        </w:rPr>
        <w:t xml:space="preserve">6.  </w:t>
      </w:r>
      <w:r>
        <w:rPr>
          <w:rFonts w:ascii="Arial" w:cs="Arial" w:eastAsia="Arial" w:hAnsi="Arial"/>
          <w:color w:val="333333"/>
          <w:sz w:val="17"/>
          <w:szCs w:val="17"/>
        </w:rPr>
        <w:t xml:space="preserve">I understand that compliance with this policy is a condition of my continued employment and authorization to operate company vehicles.</w:t>
      </w:r>
    </w:p>
    <w:p>
      <w:pPr>
        <w:spacing w:before="0" w:after="60"/>
        <w:ind w:left="360"/>
      </w:pPr>
      <w:r>
        <w:rPr>
          <w:rFonts w:ascii="Arial" w:cs="Arial" w:eastAsia="Arial" w:hAnsi="Arial"/>
          <w:b/>
          <w:bCs/>
          <w:color w:val="1B2A4A"/>
          <w:sz w:val="17"/>
          <w:szCs w:val="17"/>
        </w:rPr>
        <w:t xml:space="preserve">7.  </w:t>
      </w:r>
      <w:r>
        <w:rPr>
          <w:rFonts w:ascii="Arial" w:cs="Arial" w:eastAsia="Arial" w:hAnsi="Arial"/>
          <w:color w:val="333333"/>
          <w:sz w:val="17"/>
          <w:szCs w:val="17"/>
        </w:rPr>
        <w:t xml:space="preserve">I agree to comply with all applicable federal, state, and local laws regarding electronic device use while driving, including any laws more restrictive than this policy.</w:t>
      </w:r>
    </w:p>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2560"/>
        <w:gridCol w:w="1400"/>
        <w:gridCol w:w="3000"/>
      </w:tblGrid>
      <w:tr>
        <w:trPr>
          <w:trHeight w:val="480" w:hRule="atLeast"/>
        </w:trPr>
        <w:tc>
          <w:tcPr>
            <w:tcW w:type="dxa" w:w="24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center"/>
          </w:tcPr>
          <w:p>
            <w:pPr>
              <w:spacing w:before="0" w:after="0"/>
            </w:pPr>
            <w:r>
              <w:rPr>
                <w:rFonts w:ascii="Arial" w:cs="Arial" w:eastAsia="Arial" w:hAnsi="Arial"/>
                <w:b/>
                <w:bCs/>
                <w:color w:val="1B2A4A"/>
                <w:sz w:val="16"/>
                <w:szCs w:val="16"/>
              </w:rPr>
              <w:t xml:space="preserve">Employee Printed Name:</w:t>
            </w:r>
          </w:p>
        </w:tc>
        <w:tc>
          <w:tcPr>
            <w:tcW w:type="dxa" w:w="2560"/>
            <w:tcBorders>
              <w:top w:val="single" w:color="D9D9D9" w:sz="1"/>
              <w:left w:val="single" w:color="D9D9D9" w:sz="1"/>
              <w:bottom w:val="single" w:color="D9D9D9" w:sz="1"/>
              <w:right w:val="single" w:color="D9D9D9" w:sz="1"/>
            </w:tcBorders>
            <w:tcMar>
              <w:top w:type="dxa" w:w="60"/>
              <w:left w:type="dxa" w:w="120"/>
              <w:bottom w:type="dxa" w:w="60"/>
              <w:right w:type="dxa" w:w="120"/>
            </w:tcMar>
            <w:vAlign w:val="center"/>
          </w:tcPr>
          <w:p>
            <w:pPr>
              <w:spacing w:before="0" w:after="0"/>
            </w:pPr>
            <w:r>
              <w:rPr>
                <w:rFonts w:ascii="Arial" w:cs="Arial" w:eastAsia="Arial" w:hAnsi="Arial"/>
                <w:color w:val="333333"/>
                <w:sz w:val="16"/>
                <w:szCs w:val="16"/>
              </w:rPr>
              <w:t xml:space="preserve"/>
            </w:r>
          </w:p>
        </w:tc>
        <w:tc>
          <w:tcPr>
            <w:tcW w:type="dxa" w:w="14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center"/>
          </w:tcPr>
          <w:p>
            <w:pPr>
              <w:spacing w:before="0" w:after="0"/>
            </w:pPr>
            <w:r>
              <w:rPr>
                <w:rFonts w:ascii="Arial" w:cs="Arial" w:eastAsia="Arial" w:hAnsi="Arial"/>
                <w:b/>
                <w:bCs/>
                <w:color w:val="1B2A4A"/>
                <w:sz w:val="16"/>
                <w:szCs w:val="16"/>
              </w:rPr>
              <w:t xml:space="preserve">Employee ID:</w:t>
            </w:r>
          </w:p>
        </w:tc>
        <w:tc>
          <w:tcPr>
            <w:tcW w:type="dxa" w:w="3000"/>
            <w:tcBorders>
              <w:top w:val="single" w:color="D9D9D9" w:sz="1"/>
              <w:left w:val="single" w:color="D9D9D9" w:sz="1"/>
              <w:bottom w:val="single" w:color="D9D9D9" w:sz="1"/>
              <w:right w:val="single" w:color="D9D9D9" w:sz="1"/>
            </w:tcBorders>
            <w:tcMar>
              <w:top w:type="dxa" w:w="60"/>
              <w:left w:type="dxa" w:w="120"/>
              <w:bottom w:type="dxa" w:w="60"/>
              <w:right w:type="dxa" w:w="120"/>
            </w:tcMar>
            <w:vAlign w:val="center"/>
          </w:tcPr>
          <w:p>
            <w:pPr>
              <w:spacing w:before="0" w:after="0"/>
            </w:pPr>
            <w:r>
              <w:rPr>
                <w:rFonts w:ascii="Arial" w:cs="Arial" w:eastAsia="Arial" w:hAnsi="Arial"/>
                <w:color w:val="333333"/>
                <w:sz w:val="16"/>
                <w:szCs w:val="16"/>
              </w:rPr>
              <w:t xml:space="preserve"/>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00"/>
        <w:gridCol w:w="3660"/>
        <w:gridCol w:w="800"/>
        <w:gridCol w:w="3000"/>
      </w:tblGrid>
      <w:tr>
        <w:trPr>
          <w:trHeight w:val="480" w:hRule="atLeast"/>
        </w:trPr>
        <w:tc>
          <w:tcPr>
            <w:tcW w:type="dxa" w:w="19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center"/>
          </w:tcPr>
          <w:p>
            <w:pPr>
              <w:spacing w:before="0" w:after="0"/>
            </w:pPr>
            <w:r>
              <w:rPr>
                <w:rFonts w:ascii="Arial" w:cs="Arial" w:eastAsia="Arial" w:hAnsi="Arial"/>
                <w:b/>
                <w:bCs/>
                <w:color w:val="1B2A4A"/>
                <w:sz w:val="16"/>
                <w:szCs w:val="16"/>
              </w:rPr>
              <w:t xml:space="preserve">Employee Signature:</w:t>
            </w:r>
          </w:p>
        </w:tc>
        <w:tc>
          <w:tcPr>
            <w:tcW w:type="dxa" w:w="3660"/>
            <w:tcBorders>
              <w:top w:val="single" w:color="D9D9D9" w:sz="1"/>
              <w:left w:val="single" w:color="D9D9D9" w:sz="1"/>
              <w:bottom w:val="single" w:color="D9D9D9" w:sz="1"/>
              <w:right w:val="single" w:color="D9D9D9" w:sz="1"/>
            </w:tcBorders>
            <w:tcMar>
              <w:top w:type="dxa" w:w="60"/>
              <w:left w:type="dxa" w:w="120"/>
              <w:bottom w:type="dxa" w:w="60"/>
              <w:right w:type="dxa" w:w="120"/>
            </w:tcMar>
            <w:vAlign w:val="center"/>
          </w:tcPr>
          <w:p>
            <w:pPr>
              <w:spacing w:before="0" w:after="0"/>
            </w:pPr>
            <w:r>
              <w:rPr>
                <w:rFonts w:ascii="Arial" w:cs="Arial" w:eastAsia="Arial" w:hAnsi="Arial"/>
                <w:color w:val="333333"/>
                <w:sz w:val="16"/>
                <w:szCs w:val="16"/>
              </w:rPr>
              <w:t xml:space="preserve"/>
            </w:r>
          </w:p>
        </w:tc>
        <w:tc>
          <w:tcPr>
            <w:tcW w:type="dxa" w:w="8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center"/>
          </w:tcPr>
          <w:p>
            <w:pPr>
              <w:spacing w:before="0" w:after="0"/>
            </w:pPr>
            <w:r>
              <w:rPr>
                <w:rFonts w:ascii="Arial" w:cs="Arial" w:eastAsia="Arial" w:hAnsi="Arial"/>
                <w:b/>
                <w:bCs/>
                <w:color w:val="1B2A4A"/>
                <w:sz w:val="16"/>
                <w:szCs w:val="16"/>
              </w:rPr>
              <w:t xml:space="preserve">Date:</w:t>
            </w:r>
          </w:p>
        </w:tc>
        <w:tc>
          <w:tcPr>
            <w:tcW w:type="dxa" w:w="3000"/>
            <w:tcBorders>
              <w:top w:val="single" w:color="D9D9D9" w:sz="1"/>
              <w:left w:val="single" w:color="D9D9D9" w:sz="1"/>
              <w:bottom w:val="single" w:color="D9D9D9" w:sz="1"/>
              <w:right w:val="single" w:color="D9D9D9" w:sz="1"/>
            </w:tcBorders>
            <w:tcMar>
              <w:top w:type="dxa" w:w="60"/>
              <w:left w:type="dxa" w:w="120"/>
              <w:bottom w:type="dxa" w:w="60"/>
              <w:right w:type="dxa" w:w="120"/>
            </w:tcMar>
            <w:vAlign w:val="center"/>
          </w:tcPr>
          <w:p>
            <w:pPr>
              <w:spacing w:before="0" w:after="0"/>
            </w:pPr>
            <w:r>
              <w:rPr>
                <w:rFonts w:ascii="Arial" w:cs="Arial" w:eastAsia="Arial" w:hAnsi="Arial"/>
                <w:color w:val="333333"/>
                <w:sz w:val="16"/>
                <w:szCs w:val="16"/>
              </w:rPr>
              <w:t xml:space="preserve"/>
            </w:r>
          </w:p>
        </w:tc>
      </w:tr>
    </w:tbl>
    <w:p>
      <w:pPr>
        <w:spacing w:before="8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500"/>
        <w:gridCol w:w="2660"/>
        <w:gridCol w:w="700"/>
        <w:gridCol w:w="3500"/>
      </w:tblGrid>
      <w:tr>
        <w:trPr>
          <w:trHeight w:val="480" w:hRule="atLeast"/>
        </w:trPr>
        <w:tc>
          <w:tcPr>
            <w:tcW w:type="dxa" w:w="25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center"/>
          </w:tcPr>
          <w:p>
            <w:pPr>
              <w:spacing w:before="0" w:after="0"/>
            </w:pPr>
            <w:r>
              <w:rPr>
                <w:rFonts w:ascii="Arial" w:cs="Arial" w:eastAsia="Arial" w:hAnsi="Arial"/>
                <w:b/>
                <w:bCs/>
                <w:color w:val="1B2A4A"/>
                <w:sz w:val="16"/>
                <w:szCs w:val="16"/>
              </w:rPr>
              <w:t xml:space="preserve">Supervisor Printed Name:</w:t>
            </w:r>
          </w:p>
        </w:tc>
        <w:tc>
          <w:tcPr>
            <w:tcW w:type="dxa" w:w="2660"/>
            <w:tcBorders>
              <w:top w:val="single" w:color="D9D9D9" w:sz="1"/>
              <w:left w:val="single" w:color="D9D9D9" w:sz="1"/>
              <w:bottom w:val="single" w:color="D9D9D9" w:sz="1"/>
              <w:right w:val="single" w:color="D9D9D9" w:sz="1"/>
            </w:tcBorders>
            <w:tcMar>
              <w:top w:type="dxa" w:w="60"/>
              <w:left w:type="dxa" w:w="120"/>
              <w:bottom w:type="dxa" w:w="60"/>
              <w:right w:type="dxa" w:w="120"/>
            </w:tcMar>
            <w:vAlign w:val="center"/>
          </w:tcPr>
          <w:p>
            <w:pPr>
              <w:spacing w:before="0" w:after="0"/>
            </w:pPr>
            <w:r>
              <w:rPr>
                <w:rFonts w:ascii="Arial" w:cs="Arial" w:eastAsia="Arial" w:hAnsi="Arial"/>
                <w:color w:val="333333"/>
                <w:sz w:val="16"/>
                <w:szCs w:val="16"/>
              </w:rPr>
              <w:t xml:space="preserve"/>
            </w:r>
          </w:p>
        </w:tc>
        <w:tc>
          <w:tcPr>
            <w:tcW w:type="dxa" w:w="7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center"/>
          </w:tcPr>
          <w:p>
            <w:pPr>
              <w:spacing w:before="0" w:after="0"/>
            </w:pPr>
            <w:r>
              <w:rPr>
                <w:rFonts w:ascii="Arial" w:cs="Arial" w:eastAsia="Arial" w:hAnsi="Arial"/>
                <w:b/>
                <w:bCs/>
                <w:color w:val="1B2A4A"/>
                <w:sz w:val="16"/>
                <w:szCs w:val="16"/>
              </w:rPr>
              <w:t xml:space="preserve">Title:</w:t>
            </w:r>
          </w:p>
        </w:tc>
        <w:tc>
          <w:tcPr>
            <w:tcW w:type="dxa" w:w="3500"/>
            <w:tcBorders>
              <w:top w:val="single" w:color="D9D9D9" w:sz="1"/>
              <w:left w:val="single" w:color="D9D9D9" w:sz="1"/>
              <w:bottom w:val="single" w:color="D9D9D9" w:sz="1"/>
              <w:right w:val="single" w:color="D9D9D9" w:sz="1"/>
            </w:tcBorders>
            <w:tcMar>
              <w:top w:type="dxa" w:w="60"/>
              <w:left w:type="dxa" w:w="120"/>
              <w:bottom w:type="dxa" w:w="60"/>
              <w:right w:type="dxa" w:w="120"/>
            </w:tcMar>
            <w:vAlign w:val="center"/>
          </w:tcPr>
          <w:p>
            <w:pPr>
              <w:spacing w:before="0" w:after="0"/>
            </w:pPr>
            <w:r>
              <w:rPr>
                <w:rFonts w:ascii="Arial" w:cs="Arial" w:eastAsia="Arial" w:hAnsi="Arial"/>
                <w:color w:val="333333"/>
                <w:sz w:val="16"/>
                <w:szCs w:val="16"/>
              </w:rPr>
              <w:t xml:space="preserve"/>
            </w:r>
          </w:p>
        </w:tc>
      </w:tr>
    </w:tbl>
    <w:p>
      <w:pPr>
        <w:spacing w:before="4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000"/>
        <w:gridCol w:w="3560"/>
        <w:gridCol w:w="800"/>
        <w:gridCol w:w="3000"/>
      </w:tblGrid>
      <w:tr>
        <w:trPr>
          <w:trHeight w:val="480" w:hRule="atLeast"/>
        </w:trPr>
        <w:tc>
          <w:tcPr>
            <w:tcW w:type="dxa" w:w="20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center"/>
          </w:tcPr>
          <w:p>
            <w:pPr>
              <w:spacing w:before="0" w:after="0"/>
            </w:pPr>
            <w:r>
              <w:rPr>
                <w:rFonts w:ascii="Arial" w:cs="Arial" w:eastAsia="Arial" w:hAnsi="Arial"/>
                <w:b/>
                <w:bCs/>
                <w:color w:val="1B2A4A"/>
                <w:sz w:val="16"/>
                <w:szCs w:val="16"/>
              </w:rPr>
              <w:t xml:space="preserve">Supervisor Signature:</w:t>
            </w:r>
          </w:p>
        </w:tc>
        <w:tc>
          <w:tcPr>
            <w:tcW w:type="dxa" w:w="3560"/>
            <w:tcBorders>
              <w:top w:val="single" w:color="D9D9D9" w:sz="1"/>
              <w:left w:val="single" w:color="D9D9D9" w:sz="1"/>
              <w:bottom w:val="single" w:color="D9D9D9" w:sz="1"/>
              <w:right w:val="single" w:color="D9D9D9" w:sz="1"/>
            </w:tcBorders>
            <w:tcMar>
              <w:top w:type="dxa" w:w="60"/>
              <w:left w:type="dxa" w:w="120"/>
              <w:bottom w:type="dxa" w:w="60"/>
              <w:right w:type="dxa" w:w="120"/>
            </w:tcMar>
            <w:vAlign w:val="center"/>
          </w:tcPr>
          <w:p>
            <w:pPr>
              <w:spacing w:before="0" w:after="0"/>
            </w:pPr>
            <w:r>
              <w:rPr>
                <w:rFonts w:ascii="Arial" w:cs="Arial" w:eastAsia="Arial" w:hAnsi="Arial"/>
                <w:color w:val="333333"/>
                <w:sz w:val="16"/>
                <w:szCs w:val="16"/>
              </w:rPr>
              <w:t xml:space="preserve"/>
            </w:r>
          </w:p>
        </w:tc>
        <w:tc>
          <w:tcPr>
            <w:tcW w:type="dxa" w:w="800"/>
            <w:tcBorders>
              <w:top w:val="single" w:color="D9D9D9" w:sz="1"/>
              <w:left w:val="single" w:color="D9D9D9" w:sz="1"/>
              <w:bottom w:val="single" w:color="D9D9D9" w:sz="1"/>
              <w:right w:val="single" w:color="D9D9D9" w:sz="1"/>
            </w:tcBorders>
            <w:shd w:fill="F2F2F2" w:val="clear"/>
            <w:tcMar>
              <w:top w:type="dxa" w:w="60"/>
              <w:left w:type="dxa" w:w="120"/>
              <w:bottom w:type="dxa" w:w="60"/>
              <w:right w:type="dxa" w:w="120"/>
            </w:tcMar>
            <w:vAlign w:val="center"/>
          </w:tcPr>
          <w:p>
            <w:pPr>
              <w:spacing w:before="0" w:after="0"/>
            </w:pPr>
            <w:r>
              <w:rPr>
                <w:rFonts w:ascii="Arial" w:cs="Arial" w:eastAsia="Arial" w:hAnsi="Arial"/>
                <w:b/>
                <w:bCs/>
                <w:color w:val="1B2A4A"/>
                <w:sz w:val="16"/>
                <w:szCs w:val="16"/>
              </w:rPr>
              <w:t xml:space="preserve">Date:</w:t>
            </w:r>
          </w:p>
        </w:tc>
        <w:tc>
          <w:tcPr>
            <w:tcW w:type="dxa" w:w="3000"/>
            <w:tcBorders>
              <w:top w:val="single" w:color="D9D9D9" w:sz="1"/>
              <w:left w:val="single" w:color="D9D9D9" w:sz="1"/>
              <w:bottom w:val="single" w:color="D9D9D9" w:sz="1"/>
              <w:right w:val="single" w:color="D9D9D9" w:sz="1"/>
            </w:tcBorders>
            <w:tcMar>
              <w:top w:type="dxa" w:w="60"/>
              <w:left w:type="dxa" w:w="120"/>
              <w:bottom w:type="dxa" w:w="60"/>
              <w:right w:type="dxa" w:w="120"/>
            </w:tcMar>
            <w:vAlign w:val="center"/>
          </w:tcPr>
          <w:p>
            <w:pPr>
              <w:spacing w:before="0" w:after="0"/>
            </w:pPr>
            <w:r>
              <w:rPr>
                <w:rFonts w:ascii="Arial" w:cs="Arial" w:eastAsia="Arial" w:hAnsi="Arial"/>
                <w:color w:val="333333"/>
                <w:sz w:val="16"/>
                <w:szCs w:val="16"/>
              </w:rPr>
              <w:t xml:space="preserve"/>
            </w:r>
          </w:p>
        </w:tc>
      </w:tr>
    </w:tbl>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B2A4A" w:sz="2"/>
              <w:left w:val="single" w:color="1B2A4A" w:sz="2"/>
              <w:bottom w:val="single" w:color="1B2A4A" w:sz="2"/>
              <w:right w:val="single" w:color="1B2A4A" w:sz="2"/>
            </w:tcBorders>
            <w:shd w:fill="1B2A4A" w:val="clear"/>
            <w:tcMar>
              <w:top w:type="dxa" w:w="40"/>
              <w:left w:type="dxa" w:w="120"/>
              <w:bottom w:type="dxa" w:w="40"/>
              <w:right w:type="dxa" w:w="120"/>
            </w:tcMar>
            <w:vAlign w:val="center"/>
          </w:tcPr>
          <w:p>
            <w:pPr>
              <w:spacing w:before="0" w:after="0"/>
            </w:pPr>
            <w:r>
              <w:rPr>
                <w:rFonts w:ascii="Arial" w:cs="Arial" w:eastAsia="Arial" w:hAnsi="Arial"/>
                <w:b/>
                <w:bCs/>
                <w:color w:val="FFFFFF"/>
                <w:sz w:val="16"/>
                <w:szCs w:val="16"/>
              </w:rPr>
              <w:t xml:space="preserve">DISTRIBUTION</w:t>
            </w:r>
          </w:p>
        </w:tc>
      </w:tr>
    </w:tbl>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 ]  Original to Driver Personnel File</w:t>
            </w:r>
          </w:p>
        </w:tc>
        <w:tc>
          <w:tcPr>
            <w:tcW w:type="dxa" w:w="234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 ]  Copy to Employee</w:t>
            </w:r>
          </w:p>
        </w:tc>
        <w:tc>
          <w:tcPr>
            <w:tcW w:type="dxa" w:w="234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 ]  Copy to Safety Department</w:t>
            </w:r>
          </w:p>
        </w:tc>
        <w:tc>
          <w:tcPr>
            <w:tcW w:type="dxa" w:w="2340"/>
            <w:tcBorders>
              <w:top w:val="single" w:color="D9D9D9" w:sz="1"/>
              <w:left w:val="single" w:color="D9D9D9" w:sz="1"/>
              <w:bottom w:val="single" w:color="D9D9D9" w:sz="1"/>
              <w:right w:val="single" w:color="D9D9D9" w:sz="1"/>
            </w:tcBorders>
            <w:shd w:fill="F2F2F2" w:val="clear"/>
            <w:tcMar>
              <w:top w:type="dxa" w:w="40"/>
              <w:left w:type="dxa" w:w="100"/>
              <w:bottom w:type="dxa" w:w="40"/>
              <w:right w:type="dxa" w:w="100"/>
            </w:tcMar>
            <w:vAlign w:val="center"/>
          </w:tcPr>
          <w:p>
            <w:pPr>
              <w:spacing w:before="0" w:after="0"/>
            </w:pPr>
            <w:r>
              <w:rPr>
                <w:rFonts w:ascii="Arial" w:cs="Arial" w:eastAsia="Arial" w:hAnsi="Arial"/>
                <w:color w:val="333333"/>
                <w:sz w:val="15"/>
                <w:szCs w:val="15"/>
              </w:rPr>
              <w:t xml:space="preserve">[ ]  Copy to Insurance File</w:t>
            </w:r>
          </w:p>
        </w:tc>
      </w:tr>
    </w:tbl>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D9D9D9" w:sz="1"/>
              <w:left w:val="none" w:sz="0"/>
              <w:bottom w:val="none" w:sz="0"/>
              <w:right w:val="none" w:sz="0"/>
            </w:tcBorders>
            <w:tcMar>
              <w:top w:type="dxa" w:w="60"/>
              <w:left w:type="dxa" w:w="0"/>
              <w:bottom w:type="dxa" w:w="0"/>
              <w:right w:type="dxa" w:w="0"/>
            </w:tcMar>
          </w:tcPr>
          <w:p>
            <w:pPr>
              <w:spacing w:before="0" w:after="0"/>
            </w:pPr>
            <w:r>
              <w:rPr>
                <w:rFonts w:ascii="Arial" w:cs="Arial" w:eastAsia="Arial" w:hAnsi="Arial"/>
                <w:i/>
                <w:iCs/>
                <w:color w:val="999999"/>
                <w:sz w:val="14"/>
                <w:szCs w:val="14"/>
              </w:rPr>
              <w:t xml:space="preserve">This Cell Phone &amp; Electronic Device Policy template is provided by First Underwriters Insurance Brokers as a free resource for fleet operators. It is a sample document and is not legal advice. Consult with qualified legal counsel to ensure compliance with all applicable federal, state, and local laws before implementation. Contact First Underwriters at (425) 242-5357 or firstunderwriters.com for insurance program guidance.</w:t>
            </w:r>
          </w:p>
        </w:tc>
      </w:tr>
    </w:tbl>
    <w:sectPr>
      <w:headerReference w:type="default" r:id="rId6"/>
      <w:footerReference w:type="default" r:id="rId7"/>
      <w:pgSz w:w="12240" w:h="15840"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1"/>
            <w:left w:val="none" w:sz="0"/>
            <w:bottom w:val="none" w:sz="0"/>
            <w:right w:val="none" w:sz="0"/>
          </w:tcBorders>
          <w:tcMar>
            <w:top w:type="dxa" w:w="40"/>
            <w:left w:type="dxa" w:w="0"/>
            <w:bottom w:type="dxa" w:w="0"/>
            <w:right w:type="dxa" w:w="0"/>
          </w:tcMar>
        </w:tcPr>
        <w:p>
          <w:pPr>
            <w:spacing w:before="0" w:after="0"/>
          </w:pPr>
          <w:r>
            <w:rPr>
              <w:rFonts w:ascii="Arial" w:cs="Arial" w:eastAsia="Arial" w:hAnsi="Arial"/>
              <w:color w:val="999999"/>
              <w:sz w:val="13"/>
              <w:szCs w:val="13"/>
            </w:rPr>
            <w:t xml:space="preserve">SAMPLE DOCUMENT — Customize to your organization before use  |  firstunderwriters.com</w:t>
          </w:r>
        </w:p>
        <w:p>
          <w:pPr>
            <w:spacing w:before="0" w:after="0"/>
            <w:jc w:val="right"/>
          </w:pPr>
          <w:r>
            <w:rPr>
              <w:rFonts w:ascii="Arial" w:cs="Arial" w:eastAsia="Arial" w:hAnsi="Arial"/>
              <w:color w:val="999999"/>
              <w:sz w:val="13"/>
              <w:szCs w:val="13"/>
            </w:rPr>
            <w:t xml:space="preserve">Page </w:t>
          </w:r>
          <w:r>
            <w:rPr>
              <w:rFonts w:ascii="Arial" w:cs="Arial" w:eastAsia="Arial" w:hAnsi="Arial"/>
              <w:color w:val="999999"/>
              <w:sz w:val="13"/>
              <w:szCs w:val="13"/>
            </w:rPr>
            <w:fldChar w:fldCharType="begin"/>
            <w:instrText xml:space="preserve">PAGE</w:instrText>
            <w:fldChar w:fldCharType="separate"/>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spacing w:after="0"/>
      <w:jc w:val="right"/>
    </w:pPr>
    <w:r>
      <w:rPr>
        <w:rFonts w:ascii="Arial" w:cs="Arial" w:eastAsia="Arial" w:hAnsi="Arial"/>
        <w:color w:val="C5972C"/>
        <w:sz w:val="14"/>
        <w:szCs w:val="14"/>
      </w:rPr>
      <w:t xml:space="preserve">First Underwriters Insurance Brokers  |  (425) 242-5357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left"/>
      <w:pPr>
        <w:ind w:left="720" w:hanging="360"/>
      </w:pPr>
    </w:lvl>
  </w:abstractNum>
  <w:abstractNum w:abstractNumId="3" w15:restartNumberingAfterBreak="0">
    <w:multiLevelType w:val="hybridMultilevel"/>
    <w:lvl w:ilvl="0" w15:tentative="1">
      <w:start w:val="1"/>
      <w:numFmt w:val="lowerLetter"/>
      <w:lvlText w:val="%1."/>
      <w:lvlJc w:val="left"/>
      <w:pPr>
        <w:ind w:left="1080" w:hanging="360"/>
      </w:pPr>
    </w:lvl>
  </w:abstractNum>
  <w:abstractNum w:abstractNumId="4" w15:restartNumberingAfterBreak="0">
    <w:multiLevelType w:val="hybridMultilevel"/>
    <w:lvl w:ilvl="0" w15:tentative="1">
      <w:start w:val="1"/>
      <w:numFmt w:val="lowerLetter"/>
      <w:lvlText w:val="%1."/>
      <w:lvlJc w:val="left"/>
      <w:pPr>
        <w:ind w:left="1080" w:hanging="360"/>
      </w:pPr>
    </w:lvl>
  </w:abstractNum>
  <w:abstractNum w:abstractNumId="5" w15:restartNumberingAfterBreak="0">
    <w:multiLevelType w:val="hybridMultilevel"/>
    <w:lvl w:ilvl="0" w15:tentative="1">
      <w:start w:val="1"/>
      <w:numFmt w:val="lowerLetter"/>
      <w:lvlText w:val="%1."/>
      <w:lvlJc w:val="left"/>
      <w:pPr>
        <w:ind w:left="1080" w:hanging="360"/>
      </w:pPr>
    </w:lvl>
  </w:abstractNum>
  <w:abstractNum w:abstractNumId="6" w15:restartNumberingAfterBreak="0">
    <w:multiLevelType w:val="hybridMultilevel"/>
    <w:lvl w:ilvl="0" w15:tentative="1">
      <w:start w:val="1"/>
      <w:numFmt w:val="lowerLetter"/>
      <w:lvlText w:val="%1."/>
      <w:lvlJc w:val="left"/>
      <w:pPr>
        <w:ind w:left="1080" w:hanging="360"/>
      </w:pPr>
    </w:lvl>
  </w:abstractNum>
  <w:abstractNum w:abstractNumId="7" w15:restartNumberingAfterBreak="0">
    <w:multiLevelType w:val="hybridMultilevel"/>
    <w:lvl w:ilvl="0" w15:tentative="1">
      <w:start w:val="1"/>
      <w:numFmt w:val="lowerLetter"/>
      <w:lvlText w:val="%1."/>
      <w:lvlJc w:val="left"/>
      <w:pPr>
        <w:ind w:left="1080" w:hanging="360"/>
      </w:pPr>
    </w:lvl>
  </w:abstractNum>
  <w:abstractNum w:abstractNumId="8" w15:restartNumberingAfterBreak="0">
    <w:multiLevelType w:val="hybridMultilevel"/>
    <w:lvl w:ilvl="0" w15:tentative="1">
      <w:start w:val="1"/>
      <w:numFmt w:val="lowerLetter"/>
      <w:lvlText w:val="%1."/>
      <w:lvlJc w:val="left"/>
      <w:pPr>
        <w:ind w:left="1080" w:hanging="360"/>
      </w:pPr>
    </w:lvl>
  </w:abstractNum>
  <w:abstractNum w:abstractNumId="9" w15:restartNumberingAfterBreak="0">
    <w:multiLevelType w:val="hybridMultilevel"/>
    <w:lvl w:ilvl="0" w15:tentative="1">
      <w:start w:val="1"/>
      <w:numFmt w:val="lowerLetter"/>
      <w:lvlText w:val="%1."/>
      <w:lvlJc w:val="left"/>
      <w:pPr>
        <w:ind w:left="1080" w:hanging="360"/>
      </w:pPr>
    </w:lvl>
  </w:abstractNum>
  <w:abstractNum w:abstractNumId="10"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3"/>
    <w:lvlOverride w:ilvl="0">
      <w:startOverride w:val="1"/>
    </w:lvlOverride>
  </w:num>
  <w:num w:numId="3">
    <w:abstractNumId w:val="4"/>
    <w:lvlOverride w:ilvl="0">
      <w:startOverride w:val="1"/>
    </w:lvlOverride>
  </w:num>
  <w:num w:numId="4">
    <w:abstractNumId w:val="5"/>
    <w:lvlOverride w:ilvl="0">
      <w:startOverride w:val="1"/>
    </w:lvlOverride>
  </w:num>
  <w:num w:numId="5">
    <w:abstractNumId w:val="6"/>
    <w:lvlOverride w:ilvl="0">
      <w:startOverride w:val="1"/>
    </w:lvlOverride>
  </w:num>
  <w:num w:numId="6">
    <w:abstractNumId w:val="7"/>
    <w:lvlOverride w:ilvl="0">
      <w:startOverride w:val="1"/>
    </w:lvlOverride>
  </w:num>
  <w:num w:numId="7">
    <w:abstractNumId w:val="8"/>
    <w:lvlOverride w:ilvl="0">
      <w:startOverride w:val="1"/>
    </w:lvlOverride>
  </w:num>
  <w:num w:numId="8">
    <w:abstractNumId w:val="9"/>
    <w:lvlOverride w:ilvl="0">
      <w:startOverride w:val="1"/>
    </w:lvlOverride>
  </w:num>
  <w:num w:numId="9">
    <w:abstractNumId w:val="2"/>
    <w:lvlOverride w:ilvl="0">
      <w:startOverride w:val="1"/>
    </w:lvlOverride>
  </w:num>
  <w:num w:numId="10">
    <w:abstractNumId w:val="10"/>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200" w:after="120"/>
      <w:outlineLvl w:val="0"/>
    </w:pPr>
    <w:rPr>
      <w:rFonts w:ascii="Arial" w:cs="Arial" w:eastAsia="Arial" w:hAnsi="Arial"/>
      <w:b/>
      <w:bCs/>
      <w:color w:val="1B2A4A"/>
      <w:sz w:val="28"/>
      <w:szCs w:val="28"/>
    </w:rPr>
  </w:style>
  <w:style w:type="paragraph" w:styleId="Heading2">
    <w:name w:val="Heading 2"/>
    <w:basedOn w:val="Normal"/>
    <w:next w:val="Normal"/>
    <w:qFormat/>
    <w:pPr>
      <w:spacing w:before="160" w:after="80"/>
      <w:outlineLvl w:val="1"/>
    </w:pPr>
    <w:rPr>
      <w:rFonts w:ascii="Arial" w:cs="Arial" w:eastAsia="Arial" w:hAnsi="Arial"/>
      <w:b/>
      <w:bCs/>
      <w:color w:val="1B2A4A"/>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2026-02-07T00:26:59.817Z</dcterms:created>
  <dcterms:modified xsi:type="dcterms:W3CDTF">2026-02-07T00:26:59.818Z</dcterms:modified>
</cp:coreProperties>
</file>

<file path=docProps/custom.xml><?xml version="1.0" encoding="utf-8"?>
<Properties xmlns="http://schemas.openxmlformats.org/officeDocument/2006/custom-properties" xmlns:vt="http://schemas.openxmlformats.org/officeDocument/2006/docPropsVTypes"/>
</file>