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pPr>
      <w:r>
        <w:rPr>
          <w:rFonts w:ascii="Arial" w:cs="Arial" w:eastAsia="Arial" w:hAnsi="Arial"/>
          <w:b/>
          <w:bCs/>
          <w:color w:val="1B3A5C"/>
          <w:sz w:val="40"/>
          <w:szCs w:val="40"/>
        </w:rPr>
        <w:t xml:space="preserve">INCIDENT RESPONSE PLAN</w:t>
      </w:r>
    </w:p>
    <w:p>
      <w:pPr>
        <w:spacing w:after="20"/>
      </w:pPr>
      <w:r>
        <w:rPr>
          <w:rFonts w:ascii="Arial" w:cs="Arial" w:eastAsia="Arial" w:hAnsi="Arial"/>
          <w:b/>
          <w:bCs/>
          <w:color w:val="1B3A5C"/>
          <w:sz w:val="40"/>
          <w:szCs w:val="40"/>
        </w:rPr>
        <w:t xml:space="preserve">TEMPLATE</w:t>
      </w:r>
    </w:p>
    <w:p>
      <w:pPr>
        <w:spacing w:after="40"/>
      </w:pPr>
      <w:r>
        <w:rPr>
          <w:rFonts w:ascii="Arial" w:cs="Arial" w:eastAsia="Arial" w:hAnsi="Arial"/>
          <w:color w:val="2E75B6"/>
          <w:sz w:val="22"/>
          <w:szCs w:val="22"/>
        </w:rPr>
        <w:t xml:space="preserve">Cyber Liability Resource  |  Free Download</w:t>
      </w:r>
    </w:p>
    <w:p>
      <w:pPr>
        <w:pBdr>
          <w:bottom w:val="single" w:color="E8792F" w:sz="4"/>
        </w:pBdr>
        <w:spacing w:after="200"/>
      </w:pPr>
    </w:p>
    <w:p>
      <w:pPr>
        <w:spacing w:after="120"/>
      </w:pPr>
      <w:r>
        <w:rPr>
          <w:rFonts w:ascii="Arial" w:cs="Arial" w:eastAsia="Arial" w:hAnsi="Arial"/>
          <w:color w:val="333333"/>
          <w:sz w:val="20"/>
          <w:szCs w:val="20"/>
        </w:rPr>
        <w:t xml:space="preserve">This Incident Response Plan (IRP) template provides a comprehensive framework for preparing, detecting, responding to, and recovering from cybersecurity incidents. A well-documented incident response plan is a critical component of cyber risk management and is frequently required by cyber liability insurance carriers during underwriting, renewals, and the claims process.</w:t>
      </w:r>
    </w:p>
    <w:p>
      <w:pPr>
        <w:spacing w:after="120"/>
      </w:pPr>
      <w:r>
        <w:rPr>
          <w:rFonts w:ascii="Arial" w:cs="Arial" w:eastAsia="Arial" w:hAnsi="Arial"/>
          <w:color w:val="333333"/>
          <w:sz w:val="20"/>
          <w:szCs w:val="20"/>
        </w:rPr>
        <w:t xml:space="preserve">Customize each section to reflect your organization’s specific systems, personnel, regulatory environment, and business operations. This template is designed to be a living document that should be reviewed, tested, and updated at least annually.</w:t>
      </w:r>
    </w:p>
    <w:p>
      <w:pPr>
        <w:spacing w:after="100"/>
      </w:pPr>
      <w:r>
        <w:rPr>
          <w:rFonts w:ascii="Arial" w:cs="Arial" w:eastAsia="Arial" w:hAnsi="Arial"/>
          <w:i/>
          <w:iCs/>
          <w:color w:val="666666"/>
          <w:sz w:val="18"/>
          <w:szCs w:val="18"/>
        </w:rPr>
        <w:t xml:space="preserve">Instructions: Complete all sections. Fields marked with an asterisk (*) are considered essential for cyber liability compliance. Replace all placeholder text with your organization’s specific information.</w:t>
      </w:r>
    </w:p>
    <w:p>
      <w:pPr>
        <w:pStyle w:val="Heading1"/>
        <w:spacing w:before="360" w:after="120"/>
      </w:pPr>
      <w:r>
        <w:rPr>
          <w:rFonts w:ascii="Arial" w:cs="Arial" w:eastAsia="Arial" w:hAnsi="Arial"/>
          <w:b/>
          <w:bCs/>
          <w:color w:val="1B3A5C"/>
          <w:sz w:val="28"/>
          <w:szCs w:val="28"/>
        </w:rPr>
        <w:t xml:space="preserve">Document Control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800"/>
        <w:gridCol w:w="6560"/>
      </w:tblGrid>
      <w:tr>
        <w:tc>
          <w:tcPr>
            <w:tcW w:type="dxa" w:w="2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Organization Name:</w:t>
            </w:r>
          </w:p>
        </w:tc>
        <w:tc>
          <w:tcPr>
            <w:tcW w:type="dxa" w:w="65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jc w:val="left"/>
            </w:pPr>
            <w:r>
              <w:rPr>
                <w:rFonts w:ascii="Arial" w:cs="Arial" w:eastAsia="Arial" w:hAnsi="Arial"/>
                <w:b w:val="false"/>
                <w:bCs w:val="false"/>
                <w:color w:val="666666"/>
                <w:sz w:val="20"/>
                <w:szCs w:val="20"/>
              </w:rPr>
              <w:t xml:space="preserve"/>
            </w:r>
          </w:p>
        </w:tc>
      </w:tr>
      <w:tr>
        <w:tc>
          <w:tcPr>
            <w:tcW w:type="dxa" w:w="2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Document Owner:</w:t>
            </w:r>
          </w:p>
        </w:tc>
        <w:tc>
          <w:tcPr>
            <w:tcW w:type="dxa" w:w="6560"/>
            <w:tcBorders>
              <w:top w:val="single" w:color="CCCCCC" w:sz="1"/>
              <w:left w:val="single" w:color="CCCCCC" w:sz="1"/>
              <w:bottom w:val="single" w:color="CCCCCC" w:sz="1"/>
              <w:right w:val="single" w:color="CCCCCC" w:sz="1"/>
            </w:tcBorders>
            <w:tcMar>
              <w:top w:type="dxa" w:w="80"/>
              <w:left w:type="dxa" w:w="120"/>
              <w:bottom w:type="dxa" w:w="80"/>
              <w:right w:type="dxa" w:w="120"/>
            </w:tcMar>
          </w:tcPr>
          <w:p>
            <w:pPr>
              <w:jc w:val="left"/>
            </w:pPr>
            <w:r>
              <w:rPr>
                <w:rFonts w:ascii="Arial" w:cs="Arial" w:eastAsia="Arial" w:hAnsi="Arial"/>
                <w:b w:val="false"/>
                <w:bCs w:val="false"/>
                <w:color w:val="666666"/>
                <w:sz w:val="20"/>
                <w:szCs w:val="20"/>
              </w:rPr>
              <w:t xml:space="preserve"/>
            </w:r>
          </w:p>
        </w:tc>
      </w:tr>
      <w:tr>
        <w:tc>
          <w:tcPr>
            <w:tcW w:type="dxa" w:w="2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Version Number:</w:t>
            </w:r>
          </w:p>
        </w:tc>
        <w:tc>
          <w:tcPr>
            <w:tcW w:type="dxa" w:w="65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jc w:val="left"/>
            </w:pPr>
            <w:r>
              <w:rPr>
                <w:rFonts w:ascii="Arial" w:cs="Arial" w:eastAsia="Arial" w:hAnsi="Arial"/>
                <w:b w:val="false"/>
                <w:bCs w:val="false"/>
                <w:color w:val="666666"/>
                <w:sz w:val="20"/>
                <w:szCs w:val="20"/>
              </w:rPr>
              <w:t xml:space="preserve"/>
            </w:r>
          </w:p>
        </w:tc>
      </w:tr>
      <w:tr>
        <w:tc>
          <w:tcPr>
            <w:tcW w:type="dxa" w:w="2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Effective Date:</w:t>
            </w:r>
          </w:p>
        </w:tc>
        <w:tc>
          <w:tcPr>
            <w:tcW w:type="dxa" w:w="6560"/>
            <w:tcBorders>
              <w:top w:val="single" w:color="CCCCCC" w:sz="1"/>
              <w:left w:val="single" w:color="CCCCCC" w:sz="1"/>
              <w:bottom w:val="single" w:color="CCCCCC" w:sz="1"/>
              <w:right w:val="single" w:color="CCCCCC" w:sz="1"/>
            </w:tcBorders>
            <w:tcMar>
              <w:top w:type="dxa" w:w="80"/>
              <w:left w:type="dxa" w:w="120"/>
              <w:bottom w:type="dxa" w:w="80"/>
              <w:right w:type="dxa" w:w="120"/>
            </w:tcMar>
          </w:tcPr>
          <w:p>
            <w:pPr>
              <w:jc w:val="left"/>
            </w:pPr>
            <w:r>
              <w:rPr>
                <w:rFonts w:ascii="Arial" w:cs="Arial" w:eastAsia="Arial" w:hAnsi="Arial"/>
                <w:b w:val="false"/>
                <w:bCs w:val="false"/>
                <w:color w:val="666666"/>
                <w:sz w:val="20"/>
                <w:szCs w:val="20"/>
              </w:rPr>
              <w:t xml:space="preserve"/>
            </w:r>
          </w:p>
        </w:tc>
      </w:tr>
      <w:tr>
        <w:tc>
          <w:tcPr>
            <w:tcW w:type="dxa" w:w="2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Last Reviewed:</w:t>
            </w:r>
          </w:p>
        </w:tc>
        <w:tc>
          <w:tcPr>
            <w:tcW w:type="dxa" w:w="65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jc w:val="left"/>
            </w:pPr>
            <w:r>
              <w:rPr>
                <w:rFonts w:ascii="Arial" w:cs="Arial" w:eastAsia="Arial" w:hAnsi="Arial"/>
                <w:b w:val="false"/>
                <w:bCs w:val="false"/>
                <w:color w:val="666666"/>
                <w:sz w:val="20"/>
                <w:szCs w:val="20"/>
              </w:rPr>
              <w:t xml:space="preserve"/>
            </w:r>
          </w:p>
        </w:tc>
      </w:tr>
      <w:tr>
        <w:tc>
          <w:tcPr>
            <w:tcW w:type="dxa" w:w="2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Next Review Date:</w:t>
            </w:r>
          </w:p>
        </w:tc>
        <w:tc>
          <w:tcPr>
            <w:tcW w:type="dxa" w:w="6560"/>
            <w:tcBorders>
              <w:top w:val="single" w:color="CCCCCC" w:sz="1"/>
              <w:left w:val="single" w:color="CCCCCC" w:sz="1"/>
              <w:bottom w:val="single" w:color="CCCCCC" w:sz="1"/>
              <w:right w:val="single" w:color="CCCCCC" w:sz="1"/>
            </w:tcBorders>
            <w:tcMar>
              <w:top w:type="dxa" w:w="80"/>
              <w:left w:type="dxa" w:w="120"/>
              <w:bottom w:type="dxa" w:w="80"/>
              <w:right w:type="dxa" w:w="120"/>
            </w:tcMar>
          </w:tcPr>
          <w:p>
            <w:pPr>
              <w:jc w:val="left"/>
            </w:pPr>
            <w:r>
              <w:rPr>
                <w:rFonts w:ascii="Arial" w:cs="Arial" w:eastAsia="Arial" w:hAnsi="Arial"/>
                <w:b w:val="false"/>
                <w:bCs w:val="false"/>
                <w:color w:val="666666"/>
                <w:sz w:val="20"/>
                <w:szCs w:val="20"/>
              </w:rPr>
              <w:t xml:space="preserve"/>
            </w:r>
          </w:p>
        </w:tc>
      </w:tr>
      <w:tr>
        <w:tc>
          <w:tcPr>
            <w:tcW w:type="dxa" w:w="2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Classification:</w:t>
            </w:r>
          </w:p>
        </w:tc>
        <w:tc>
          <w:tcPr>
            <w:tcW w:type="dxa" w:w="65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jc w:val="left"/>
            </w:pPr>
            <w:r>
              <w:rPr>
                <w:rFonts w:ascii="Arial" w:cs="Arial" w:eastAsia="Arial" w:hAnsi="Arial"/>
                <w:b w:val="false"/>
                <w:bCs w:val="false"/>
                <w:color w:val="666666"/>
                <w:sz w:val="20"/>
                <w:szCs w:val="20"/>
              </w:rPr>
              <w:t xml:space="preserve">Confidential</w:t>
            </w:r>
          </w:p>
        </w:tc>
      </w:tr>
      <w:tr>
        <w:tc>
          <w:tcPr>
            <w:tcW w:type="dxa" w:w="2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Distribution:</w:t>
            </w:r>
          </w:p>
        </w:tc>
        <w:tc>
          <w:tcPr>
            <w:tcW w:type="dxa" w:w="6560"/>
            <w:tcBorders>
              <w:top w:val="single" w:color="CCCCCC" w:sz="1"/>
              <w:left w:val="single" w:color="CCCCCC" w:sz="1"/>
              <w:bottom w:val="single" w:color="CCCCCC" w:sz="1"/>
              <w:right w:val="single" w:color="CCCCCC" w:sz="1"/>
            </w:tcBorders>
            <w:tcMar>
              <w:top w:type="dxa" w:w="80"/>
              <w:left w:type="dxa" w:w="120"/>
              <w:bottom w:type="dxa" w:w="80"/>
              <w:right w:type="dxa" w:w="120"/>
            </w:tcMar>
          </w:tcPr>
          <w:p>
            <w:pPr>
              <w:jc w:val="left"/>
            </w:pPr>
            <w:r>
              <w:rPr>
                <w:rFonts w:ascii="Arial" w:cs="Arial" w:eastAsia="Arial" w:hAnsi="Arial"/>
                <w:b w:val="false"/>
                <w:bCs w:val="false"/>
                <w:color w:val="666666"/>
                <w:sz w:val="20"/>
                <w:szCs w:val="20"/>
              </w:rPr>
              <w:t xml:space="preserve">Incident Response Team, Executive Leadership, IT Department</w:t>
            </w:r>
          </w:p>
        </w:tc>
      </w:tr>
    </w:tbl>
    <w:p>
      <w:pPr>
        <w:spacing w:after="80"/>
      </w:pPr>
    </w:p>
    <w:p>
      <w:pPr>
        <w:pStyle w:val="Heading2"/>
        <w:spacing w:before="240" w:after="100"/>
      </w:pPr>
      <w:r>
        <w:rPr>
          <w:rFonts w:ascii="Arial" w:cs="Arial" w:eastAsia="Arial" w:hAnsi="Arial"/>
          <w:b/>
          <w:bCs/>
          <w:color w:val="2E75B6"/>
          <w:sz w:val="24"/>
          <w:szCs w:val="24"/>
        </w:rPr>
        <w:t xml:space="preserve">Document Approval</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Name</w:t>
            </w:r>
          </w:p>
        </w:tc>
        <w:tc>
          <w:tcPr>
            <w:tcW w:type="dxa" w:w="234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Title</w:t>
            </w:r>
          </w:p>
        </w:tc>
        <w:tc>
          <w:tcPr>
            <w:tcW w:type="dxa" w:w="234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Signature</w:t>
            </w:r>
          </w:p>
        </w:tc>
        <w:tc>
          <w:tcPr>
            <w:tcW w:type="dxa" w:w="234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Date</w:t>
            </w:r>
          </w:p>
        </w:tc>
      </w:tr>
      <w:tr>
        <w:tc>
          <w:tcPr>
            <w:tcW w:type="dxa" w:w="234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spacing w:before="160" w:after="160"/>
            </w:pPr>
          </w:p>
        </w:tc>
        <w:tc>
          <w:tcPr>
            <w:tcW w:type="dxa" w:w="234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spacing w:before="160" w:after="160"/>
            </w:pPr>
          </w:p>
        </w:tc>
        <w:tc>
          <w:tcPr>
            <w:tcW w:type="dxa" w:w="234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spacing w:before="160" w:after="160"/>
            </w:pPr>
          </w:p>
        </w:tc>
        <w:tc>
          <w:tcPr>
            <w:tcW w:type="dxa" w:w="234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spacing w:before="160" w:after="160"/>
            </w:pPr>
          </w:p>
        </w:tc>
      </w:tr>
      <w:tr>
        <w:tc>
          <w:tcPr>
            <w:tcW w:type="dxa" w:w="2340"/>
            <w:tcBorders>
              <w:top w:val="single" w:color="CCCCCC" w:sz="1"/>
              <w:left w:val="single" w:color="CCCCCC" w:sz="1"/>
              <w:bottom w:val="single" w:color="CCCCCC" w:sz="1"/>
              <w:right w:val="single" w:color="CCCCCC" w:sz="1"/>
            </w:tcBorders>
            <w:tcMar>
              <w:top w:type="dxa" w:w="80"/>
              <w:left w:type="dxa" w:w="120"/>
              <w:bottom w:type="dxa" w:w="80"/>
              <w:right w:type="dxa" w:w="120"/>
            </w:tcMar>
          </w:tcPr>
          <w:p>
            <w:pPr>
              <w:spacing w:before="160" w:after="160"/>
            </w:pPr>
          </w:p>
        </w:tc>
        <w:tc>
          <w:tcPr>
            <w:tcW w:type="dxa" w:w="2340"/>
            <w:tcBorders>
              <w:top w:val="single" w:color="CCCCCC" w:sz="1"/>
              <w:left w:val="single" w:color="CCCCCC" w:sz="1"/>
              <w:bottom w:val="single" w:color="CCCCCC" w:sz="1"/>
              <w:right w:val="single" w:color="CCCCCC" w:sz="1"/>
            </w:tcBorders>
            <w:tcMar>
              <w:top w:type="dxa" w:w="80"/>
              <w:left w:type="dxa" w:w="120"/>
              <w:bottom w:type="dxa" w:w="80"/>
              <w:right w:type="dxa" w:w="120"/>
            </w:tcMar>
          </w:tcPr>
          <w:p>
            <w:pPr>
              <w:spacing w:before="160" w:after="160"/>
            </w:pPr>
          </w:p>
        </w:tc>
        <w:tc>
          <w:tcPr>
            <w:tcW w:type="dxa" w:w="2340"/>
            <w:tcBorders>
              <w:top w:val="single" w:color="CCCCCC" w:sz="1"/>
              <w:left w:val="single" w:color="CCCCCC" w:sz="1"/>
              <w:bottom w:val="single" w:color="CCCCCC" w:sz="1"/>
              <w:right w:val="single" w:color="CCCCCC" w:sz="1"/>
            </w:tcBorders>
            <w:tcMar>
              <w:top w:type="dxa" w:w="80"/>
              <w:left w:type="dxa" w:w="120"/>
              <w:bottom w:type="dxa" w:w="80"/>
              <w:right w:type="dxa" w:w="120"/>
            </w:tcMar>
          </w:tcPr>
          <w:p>
            <w:pPr>
              <w:spacing w:before="160" w:after="160"/>
            </w:pPr>
          </w:p>
        </w:tc>
        <w:tc>
          <w:tcPr>
            <w:tcW w:type="dxa" w:w="2340"/>
            <w:tcBorders>
              <w:top w:val="single" w:color="CCCCCC" w:sz="1"/>
              <w:left w:val="single" w:color="CCCCCC" w:sz="1"/>
              <w:bottom w:val="single" w:color="CCCCCC" w:sz="1"/>
              <w:right w:val="single" w:color="CCCCCC" w:sz="1"/>
            </w:tcBorders>
            <w:tcMar>
              <w:top w:type="dxa" w:w="80"/>
              <w:left w:type="dxa" w:w="120"/>
              <w:bottom w:type="dxa" w:w="80"/>
              <w:right w:type="dxa" w:w="120"/>
            </w:tcMar>
          </w:tcPr>
          <w:p>
            <w:pPr>
              <w:spacing w:before="160" w:after="160"/>
            </w:pPr>
          </w:p>
        </w:tc>
      </w:tr>
      <w:tr>
        <w:tc>
          <w:tcPr>
            <w:tcW w:type="dxa" w:w="234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spacing w:before="160" w:after="160"/>
            </w:pPr>
          </w:p>
        </w:tc>
        <w:tc>
          <w:tcPr>
            <w:tcW w:type="dxa" w:w="234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spacing w:before="160" w:after="160"/>
            </w:pPr>
          </w:p>
        </w:tc>
        <w:tc>
          <w:tcPr>
            <w:tcW w:type="dxa" w:w="234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spacing w:before="160" w:after="160"/>
            </w:pPr>
          </w:p>
        </w:tc>
        <w:tc>
          <w:tcPr>
            <w:tcW w:type="dxa" w:w="234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spacing w:before="160" w:after="160"/>
            </w:pPr>
          </w:p>
        </w:tc>
      </w:tr>
    </w:tbl>
    <w:p>
      <w:r>
        <w:br w:type="page"/>
      </w:r>
    </w:p>
    <w:p>
      <w:pPr>
        <w:pStyle w:val="Heading2"/>
        <w:spacing w:before="240" w:after="100"/>
      </w:pPr>
      <w:r>
        <w:rPr>
          <w:rFonts w:ascii="Arial" w:cs="Arial" w:eastAsia="Arial" w:hAnsi="Arial"/>
          <w:b/>
          <w:bCs/>
          <w:color w:val="2E75B6"/>
          <w:sz w:val="24"/>
          <w:szCs w:val="24"/>
        </w:rPr>
        <w:t xml:space="preserve">Revision History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00"/>
        <w:gridCol w:w="1200"/>
        <w:gridCol w:w="2000"/>
        <w:gridCol w:w="2160"/>
        <w:gridCol w:w="2800"/>
      </w:tblGrid>
      <w:tr>
        <w:tc>
          <w:tcPr>
            <w:tcW w:type="dxa" w:w="12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Version</w:t>
            </w:r>
          </w:p>
        </w:tc>
        <w:tc>
          <w:tcPr>
            <w:tcW w:type="dxa" w:w="12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Date</w:t>
            </w:r>
          </w:p>
        </w:tc>
        <w:tc>
          <w:tcPr>
            <w:tcW w:type="dxa" w:w="20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Author</w:t>
            </w:r>
          </w:p>
        </w:tc>
        <w:tc>
          <w:tcPr>
            <w:tcW w:type="dxa" w:w="216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Changes</w:t>
            </w:r>
          </w:p>
        </w:tc>
        <w:tc>
          <w:tcPr>
            <w:tcW w:type="dxa" w:w="28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Approved By</w:t>
            </w:r>
          </w:p>
        </w:tc>
      </w:tr>
      <w:tr>
        <w:tc>
          <w:tcPr>
            <w:tcW w:type="dxa" w:w="1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c>
          <w:tcPr>
            <w:tcW w:type="dxa" w:w="1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c>
          <w:tcPr>
            <w:tcW w:type="dxa" w:w="20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c>
          <w:tcPr>
            <w:tcW w:type="dxa" w:w="21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c>
          <w:tcPr>
            <w:tcW w:type="dxa" w:w="2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r>
      <w:tr>
        <w:tc>
          <w:tcPr>
            <w:tcW w:type="dxa" w:w="1200"/>
            <w:tcBorders>
              <w:top w:val="single" w:color="CCCCCC" w:sz="1"/>
              <w:left w:val="single" w:color="CCCCCC" w:sz="1"/>
              <w:bottom w:val="single" w:color="CCCCCC" w:sz="1"/>
              <w:right w:val="single" w:color="CCCCCC" w:sz="1"/>
            </w:tcBorders>
            <w:tcMar>
              <w:top w:type="dxa" w:w="80"/>
              <w:left w:type="dxa" w:w="120"/>
              <w:bottom w:type="dxa" w:w="80"/>
              <w:right w:type="dxa" w:w="120"/>
            </w:tcMar>
          </w:tcPr>
          <w:p/>
        </w:tc>
        <w:tc>
          <w:tcPr>
            <w:tcW w:type="dxa" w:w="1200"/>
            <w:tcBorders>
              <w:top w:val="single" w:color="CCCCCC" w:sz="1"/>
              <w:left w:val="single" w:color="CCCCCC" w:sz="1"/>
              <w:bottom w:val="single" w:color="CCCCCC" w:sz="1"/>
              <w:right w:val="single" w:color="CCCCCC" w:sz="1"/>
            </w:tcBorders>
            <w:tcMar>
              <w:top w:type="dxa" w:w="80"/>
              <w:left w:type="dxa" w:w="120"/>
              <w:bottom w:type="dxa" w:w="80"/>
              <w:right w:type="dxa" w:w="120"/>
            </w:tcMar>
          </w:tcPr>
          <w:p/>
        </w:tc>
        <w:tc>
          <w:tcPr>
            <w:tcW w:type="dxa" w:w="2000"/>
            <w:tcBorders>
              <w:top w:val="single" w:color="CCCCCC" w:sz="1"/>
              <w:left w:val="single" w:color="CCCCCC" w:sz="1"/>
              <w:bottom w:val="single" w:color="CCCCCC" w:sz="1"/>
              <w:right w:val="single" w:color="CCCCCC" w:sz="1"/>
            </w:tcBorders>
            <w:tcMar>
              <w:top w:type="dxa" w:w="80"/>
              <w:left w:type="dxa" w:w="120"/>
              <w:bottom w:type="dxa" w:w="80"/>
              <w:right w:type="dxa" w:w="120"/>
            </w:tcMar>
          </w:tcPr>
          <w:p/>
        </w:tc>
        <w:tc>
          <w:tcPr>
            <w:tcW w:type="dxa" w:w="2160"/>
            <w:tcBorders>
              <w:top w:val="single" w:color="CCCCCC" w:sz="1"/>
              <w:left w:val="single" w:color="CCCCCC" w:sz="1"/>
              <w:bottom w:val="single" w:color="CCCCCC" w:sz="1"/>
              <w:right w:val="single" w:color="CCCCCC" w:sz="1"/>
            </w:tcBorders>
            <w:tcMar>
              <w:top w:type="dxa" w:w="80"/>
              <w:left w:type="dxa" w:w="120"/>
              <w:bottom w:type="dxa" w:w="80"/>
              <w:right w:type="dxa" w:w="120"/>
            </w:tcMar>
          </w:tcPr>
          <w:p/>
        </w:tc>
        <w:tc>
          <w:tcPr>
            <w:tcW w:type="dxa" w:w="2800"/>
            <w:tcBorders>
              <w:top w:val="single" w:color="CCCCCC" w:sz="1"/>
              <w:left w:val="single" w:color="CCCCCC" w:sz="1"/>
              <w:bottom w:val="single" w:color="CCCCCC" w:sz="1"/>
              <w:right w:val="single" w:color="CCCCCC" w:sz="1"/>
            </w:tcBorders>
            <w:tcMar>
              <w:top w:type="dxa" w:w="80"/>
              <w:left w:type="dxa" w:w="120"/>
              <w:bottom w:type="dxa" w:w="80"/>
              <w:right w:type="dxa" w:w="120"/>
            </w:tcMar>
          </w:tcPr>
          <w:p/>
        </w:tc>
      </w:tr>
      <w:tr>
        <w:tc>
          <w:tcPr>
            <w:tcW w:type="dxa" w:w="1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c>
          <w:tcPr>
            <w:tcW w:type="dxa" w:w="1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c>
          <w:tcPr>
            <w:tcW w:type="dxa" w:w="20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c>
          <w:tcPr>
            <w:tcW w:type="dxa" w:w="21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c>
          <w:tcPr>
            <w:tcW w:type="dxa" w:w="2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r>
      <w:tr>
        <w:tc>
          <w:tcPr>
            <w:tcW w:type="dxa" w:w="1200"/>
            <w:tcBorders>
              <w:top w:val="single" w:color="CCCCCC" w:sz="1"/>
              <w:left w:val="single" w:color="CCCCCC" w:sz="1"/>
              <w:bottom w:val="single" w:color="CCCCCC" w:sz="1"/>
              <w:right w:val="single" w:color="CCCCCC" w:sz="1"/>
            </w:tcBorders>
            <w:tcMar>
              <w:top w:type="dxa" w:w="80"/>
              <w:left w:type="dxa" w:w="120"/>
              <w:bottom w:type="dxa" w:w="80"/>
              <w:right w:type="dxa" w:w="120"/>
            </w:tcMar>
          </w:tcPr>
          <w:p/>
        </w:tc>
        <w:tc>
          <w:tcPr>
            <w:tcW w:type="dxa" w:w="1200"/>
            <w:tcBorders>
              <w:top w:val="single" w:color="CCCCCC" w:sz="1"/>
              <w:left w:val="single" w:color="CCCCCC" w:sz="1"/>
              <w:bottom w:val="single" w:color="CCCCCC" w:sz="1"/>
              <w:right w:val="single" w:color="CCCCCC" w:sz="1"/>
            </w:tcBorders>
            <w:tcMar>
              <w:top w:type="dxa" w:w="80"/>
              <w:left w:type="dxa" w:w="120"/>
              <w:bottom w:type="dxa" w:w="80"/>
              <w:right w:type="dxa" w:w="120"/>
            </w:tcMar>
          </w:tcPr>
          <w:p/>
        </w:tc>
        <w:tc>
          <w:tcPr>
            <w:tcW w:type="dxa" w:w="2000"/>
            <w:tcBorders>
              <w:top w:val="single" w:color="CCCCCC" w:sz="1"/>
              <w:left w:val="single" w:color="CCCCCC" w:sz="1"/>
              <w:bottom w:val="single" w:color="CCCCCC" w:sz="1"/>
              <w:right w:val="single" w:color="CCCCCC" w:sz="1"/>
            </w:tcBorders>
            <w:tcMar>
              <w:top w:type="dxa" w:w="80"/>
              <w:left w:type="dxa" w:w="120"/>
              <w:bottom w:type="dxa" w:w="80"/>
              <w:right w:type="dxa" w:w="120"/>
            </w:tcMar>
          </w:tcPr>
          <w:p/>
        </w:tc>
        <w:tc>
          <w:tcPr>
            <w:tcW w:type="dxa" w:w="2160"/>
            <w:tcBorders>
              <w:top w:val="single" w:color="CCCCCC" w:sz="1"/>
              <w:left w:val="single" w:color="CCCCCC" w:sz="1"/>
              <w:bottom w:val="single" w:color="CCCCCC" w:sz="1"/>
              <w:right w:val="single" w:color="CCCCCC" w:sz="1"/>
            </w:tcBorders>
            <w:tcMar>
              <w:top w:type="dxa" w:w="80"/>
              <w:left w:type="dxa" w:w="120"/>
              <w:bottom w:type="dxa" w:w="80"/>
              <w:right w:type="dxa" w:w="120"/>
            </w:tcMar>
          </w:tcPr>
          <w:p/>
        </w:tc>
        <w:tc>
          <w:tcPr>
            <w:tcW w:type="dxa" w:w="2800"/>
            <w:tcBorders>
              <w:top w:val="single" w:color="CCCCCC" w:sz="1"/>
              <w:left w:val="single" w:color="CCCCCC" w:sz="1"/>
              <w:bottom w:val="single" w:color="CCCCCC" w:sz="1"/>
              <w:right w:val="single" w:color="CCCCCC" w:sz="1"/>
            </w:tcBorders>
            <w:tcMar>
              <w:top w:type="dxa" w:w="80"/>
              <w:left w:type="dxa" w:w="120"/>
              <w:bottom w:type="dxa" w:w="80"/>
              <w:right w:type="dxa" w:w="120"/>
            </w:tcMar>
          </w:tcPr>
          <w:p/>
        </w:tc>
      </w:tr>
    </w:tbl>
    <w:p>
      <w:r>
        <w:br w:type="page"/>
      </w:r>
    </w:p>
    <w:p>
      <w:pPr>
        <w:spacing w:after="200"/>
      </w:pPr>
      <w:r>
        <w:rPr>
          <w:rFonts w:ascii="Arial" w:cs="Arial" w:eastAsia="Arial" w:hAnsi="Arial"/>
          <w:b/>
          <w:bCs/>
          <w:color w:val="1B3A5C"/>
          <w:sz w:val="32"/>
          <w:szCs w:val="32"/>
        </w:rPr>
        <w:t xml:space="preserve">Table of Contents</w:t>
      </w:r>
    </w:p>
    <w:sdt>
      <w:sdtPr>
        <w:alias w:val="Table of Contents"/>
      </w:sdtPr>
      <w:sdtContent>
        <w:p>
          <w:r>
            <w:fldChar w:fldCharType="begin" w:dirty="true"/>
            <w:instrText xml:space="preserve">TOC \h \o "1-2"</w:instrText>
            <w:fldChar w:fldCharType="separate"/>
          </w:r>
        </w:p>
        <w:p>
          <w:r>
            <w:fldChar w:fldCharType="end"/>
          </w:r>
        </w:p>
      </w:sdtContent>
    </w:sdt>
    <w:p>
      <w:r>
        <w:br w:type="page"/>
      </w:r>
    </w:p>
    <w:p>
      <w:pPr>
        <w:pStyle w:val="Heading1"/>
        <w:spacing w:before="360" w:after="120"/>
      </w:pPr>
      <w:r>
        <w:rPr>
          <w:rFonts w:ascii="Arial" w:cs="Arial" w:eastAsia="Arial" w:hAnsi="Arial"/>
          <w:b/>
          <w:bCs/>
          <w:color w:val="1B3A5C"/>
          <w:sz w:val="28"/>
          <w:szCs w:val="28"/>
        </w:rPr>
        <w:t xml:space="preserve">1. Purpose and Scope *</w:t>
      </w:r>
    </w:p>
    <w:p>
      <w:pPr>
        <w:pStyle w:val="Heading2"/>
        <w:spacing w:before="240" w:after="100"/>
      </w:pPr>
      <w:r>
        <w:rPr>
          <w:rFonts w:ascii="Arial" w:cs="Arial" w:eastAsia="Arial" w:hAnsi="Arial"/>
          <w:b/>
          <w:bCs/>
          <w:color w:val="2E75B6"/>
          <w:sz w:val="24"/>
          <w:szCs w:val="24"/>
        </w:rPr>
        <w:t xml:space="preserve">1.1 Purpose</w:t>
      </w:r>
    </w:p>
    <w:p>
      <w:pPr>
        <w:spacing w:after="120"/>
      </w:pPr>
      <w:r>
        <w:rPr>
          <w:rFonts w:ascii="Arial" w:cs="Arial" w:eastAsia="Arial" w:hAnsi="Arial"/>
          <w:color w:val="333333"/>
          <w:sz w:val="20"/>
          <w:szCs w:val="20"/>
        </w:rPr>
        <w:t xml:space="preserve">The purpose of this Incident Response Plan is to establish a structured and systematic approach to managing cybersecurity incidents that threaten the confidentiality, integrity, or availability of [Organization Name]’s information systems, data, and business operations.</w:t>
      </w:r>
    </w:p>
    <w:p>
      <w:pPr>
        <w:spacing w:after="120"/>
      </w:pPr>
      <w:r>
        <w:rPr>
          <w:rFonts w:ascii="Arial" w:cs="Arial" w:eastAsia="Arial" w:hAnsi="Arial"/>
          <w:color w:val="333333"/>
          <w:sz w:val="20"/>
          <w:szCs w:val="20"/>
        </w:rPr>
        <w:t xml:space="preserve">This plan is designed to:</w:t>
      </w:r>
    </w:p>
    <w:p>
      <w:pPr>
        <w:pStyle w:val="ListParagraph"/>
        <w:numPr>
          <w:ilvl w:val="0"/>
          <w:numId w:val="2"/>
        </w:numPr>
        <w:spacing w:after="60"/>
      </w:pPr>
      <w:r>
        <w:rPr>
          <w:rFonts w:ascii="Arial" w:cs="Arial" w:eastAsia="Arial" w:hAnsi="Arial"/>
          <w:color w:val="333333"/>
          <w:sz w:val="20"/>
          <w:szCs w:val="20"/>
        </w:rPr>
        <w:t xml:space="preserve">Minimize the impact and duration of security incidents</w:t>
      </w:r>
    </w:p>
    <w:p>
      <w:pPr>
        <w:pStyle w:val="ListParagraph"/>
        <w:numPr>
          <w:ilvl w:val="0"/>
          <w:numId w:val="2"/>
        </w:numPr>
        <w:spacing w:after="60"/>
      </w:pPr>
      <w:r>
        <w:rPr>
          <w:rFonts w:ascii="Arial" w:cs="Arial" w:eastAsia="Arial" w:hAnsi="Arial"/>
          <w:color w:val="333333"/>
          <w:sz w:val="20"/>
          <w:szCs w:val="20"/>
        </w:rPr>
        <w:t xml:space="preserve">Preserve evidence for forensic analysis and potential legal proceedings</w:t>
      </w:r>
    </w:p>
    <w:p>
      <w:pPr>
        <w:pStyle w:val="ListParagraph"/>
        <w:numPr>
          <w:ilvl w:val="0"/>
          <w:numId w:val="2"/>
        </w:numPr>
        <w:spacing w:after="60"/>
      </w:pPr>
      <w:r>
        <w:rPr>
          <w:rFonts w:ascii="Arial" w:cs="Arial" w:eastAsia="Arial" w:hAnsi="Arial"/>
          <w:color w:val="333333"/>
          <w:sz w:val="20"/>
          <w:szCs w:val="20"/>
        </w:rPr>
        <w:t xml:space="preserve">Meet regulatory and contractual notification requirements</w:t>
      </w:r>
    </w:p>
    <w:p>
      <w:pPr>
        <w:pStyle w:val="ListParagraph"/>
        <w:numPr>
          <w:ilvl w:val="0"/>
          <w:numId w:val="2"/>
        </w:numPr>
        <w:spacing w:after="60"/>
      </w:pPr>
      <w:r>
        <w:rPr>
          <w:rFonts w:ascii="Arial" w:cs="Arial" w:eastAsia="Arial" w:hAnsi="Arial"/>
          <w:color w:val="333333"/>
          <w:sz w:val="20"/>
          <w:szCs w:val="20"/>
        </w:rPr>
        <w:t xml:space="preserve">Support cyber insurance policy compliance and claims documentation</w:t>
      </w:r>
    </w:p>
    <w:p>
      <w:pPr>
        <w:pStyle w:val="ListParagraph"/>
        <w:numPr>
          <w:ilvl w:val="0"/>
          <w:numId w:val="2"/>
        </w:numPr>
        <w:spacing w:after="60"/>
      </w:pPr>
      <w:r>
        <w:rPr>
          <w:rFonts w:ascii="Arial" w:cs="Arial" w:eastAsia="Arial" w:hAnsi="Arial"/>
          <w:color w:val="333333"/>
          <w:sz w:val="20"/>
          <w:szCs w:val="20"/>
        </w:rPr>
        <w:t xml:space="preserve">Enable rapid restoration of normal business operations</w:t>
      </w:r>
    </w:p>
    <w:p>
      <w:pPr>
        <w:pStyle w:val="ListParagraph"/>
        <w:numPr>
          <w:ilvl w:val="0"/>
          <w:numId w:val="2"/>
        </w:numPr>
        <w:spacing w:after="60"/>
      </w:pPr>
      <w:r>
        <w:rPr>
          <w:rFonts w:ascii="Arial" w:cs="Arial" w:eastAsia="Arial" w:hAnsi="Arial"/>
          <w:color w:val="333333"/>
          <w:sz w:val="20"/>
          <w:szCs w:val="20"/>
        </w:rPr>
        <w:t xml:space="preserve">Provide a framework for continuous improvement of security posture</w:t>
      </w:r>
    </w:p>
    <w:p>
      <w:pPr>
        <w:pStyle w:val="Heading2"/>
        <w:spacing w:before="240" w:after="100"/>
      </w:pPr>
      <w:r>
        <w:rPr>
          <w:rFonts w:ascii="Arial" w:cs="Arial" w:eastAsia="Arial" w:hAnsi="Arial"/>
          <w:b/>
          <w:bCs/>
          <w:color w:val="2E75B6"/>
          <w:sz w:val="24"/>
          <w:szCs w:val="24"/>
        </w:rPr>
        <w:t xml:space="preserve">1.2 Scope</w:t>
      </w:r>
    </w:p>
    <w:p>
      <w:pPr>
        <w:spacing w:after="120"/>
      </w:pPr>
      <w:r>
        <w:rPr>
          <w:rFonts w:ascii="Arial" w:cs="Arial" w:eastAsia="Arial" w:hAnsi="Arial"/>
          <w:color w:val="333333"/>
          <w:sz w:val="20"/>
          <w:szCs w:val="20"/>
        </w:rPr>
        <w:t xml:space="preserve">This plan applies to all cybersecurity incidents affecting [Organization Name], including but not limited to:</w:t>
      </w:r>
    </w:p>
    <w:p>
      <w:pPr>
        <w:pStyle w:val="ListParagraph"/>
        <w:numPr>
          <w:ilvl w:val="0"/>
          <w:numId w:val="2"/>
        </w:numPr>
        <w:spacing w:after="60"/>
      </w:pPr>
      <w:r>
        <w:rPr>
          <w:rFonts w:ascii="Arial" w:cs="Arial" w:eastAsia="Arial" w:hAnsi="Arial"/>
          <w:color w:val="333333"/>
          <w:sz w:val="20"/>
          <w:szCs w:val="20"/>
        </w:rPr>
        <w:t xml:space="preserve">Ransomware and malware infections</w:t>
      </w:r>
    </w:p>
    <w:p>
      <w:pPr>
        <w:pStyle w:val="ListParagraph"/>
        <w:numPr>
          <w:ilvl w:val="0"/>
          <w:numId w:val="2"/>
        </w:numPr>
        <w:spacing w:after="60"/>
      </w:pPr>
      <w:r>
        <w:rPr>
          <w:rFonts w:ascii="Arial" w:cs="Arial" w:eastAsia="Arial" w:hAnsi="Arial"/>
          <w:color w:val="333333"/>
          <w:sz w:val="20"/>
          <w:szCs w:val="20"/>
        </w:rPr>
        <w:t xml:space="preserve">Unauthorized access to systems or data</w:t>
      </w:r>
    </w:p>
    <w:p>
      <w:pPr>
        <w:pStyle w:val="ListParagraph"/>
        <w:numPr>
          <w:ilvl w:val="0"/>
          <w:numId w:val="2"/>
        </w:numPr>
        <w:spacing w:after="60"/>
      </w:pPr>
      <w:r>
        <w:rPr>
          <w:rFonts w:ascii="Arial" w:cs="Arial" w:eastAsia="Arial" w:hAnsi="Arial"/>
          <w:color w:val="333333"/>
          <w:sz w:val="20"/>
          <w:szCs w:val="20"/>
        </w:rPr>
        <w:t xml:space="preserve">Data breaches involving personal, financial, or proprietary information</w:t>
      </w:r>
    </w:p>
    <w:p>
      <w:pPr>
        <w:pStyle w:val="ListParagraph"/>
        <w:numPr>
          <w:ilvl w:val="0"/>
          <w:numId w:val="2"/>
        </w:numPr>
        <w:spacing w:after="60"/>
      </w:pPr>
      <w:r>
        <w:rPr>
          <w:rFonts w:ascii="Arial" w:cs="Arial" w:eastAsia="Arial" w:hAnsi="Arial"/>
          <w:color w:val="333333"/>
          <w:sz w:val="20"/>
          <w:szCs w:val="20"/>
        </w:rPr>
        <w:t xml:space="preserve">Denial-of-service attacks</w:t>
      </w:r>
    </w:p>
    <w:p>
      <w:pPr>
        <w:pStyle w:val="ListParagraph"/>
        <w:numPr>
          <w:ilvl w:val="0"/>
          <w:numId w:val="2"/>
        </w:numPr>
        <w:spacing w:after="60"/>
      </w:pPr>
      <w:r>
        <w:rPr>
          <w:rFonts w:ascii="Arial" w:cs="Arial" w:eastAsia="Arial" w:hAnsi="Arial"/>
          <w:color w:val="333333"/>
          <w:sz w:val="20"/>
          <w:szCs w:val="20"/>
        </w:rPr>
        <w:t xml:space="preserve">Business email compromise (BEC) and phishing attacks</w:t>
      </w:r>
    </w:p>
    <w:p>
      <w:pPr>
        <w:pStyle w:val="ListParagraph"/>
        <w:numPr>
          <w:ilvl w:val="0"/>
          <w:numId w:val="2"/>
        </w:numPr>
        <w:spacing w:after="60"/>
      </w:pPr>
      <w:r>
        <w:rPr>
          <w:rFonts w:ascii="Arial" w:cs="Arial" w:eastAsia="Arial" w:hAnsi="Arial"/>
          <w:color w:val="333333"/>
          <w:sz w:val="20"/>
          <w:szCs w:val="20"/>
        </w:rPr>
        <w:t xml:space="preserve">Insider threats (malicious or accidental)</w:t>
      </w:r>
    </w:p>
    <w:p>
      <w:pPr>
        <w:pStyle w:val="ListParagraph"/>
        <w:numPr>
          <w:ilvl w:val="0"/>
          <w:numId w:val="2"/>
        </w:numPr>
        <w:spacing w:after="60"/>
      </w:pPr>
      <w:r>
        <w:rPr>
          <w:rFonts w:ascii="Arial" w:cs="Arial" w:eastAsia="Arial" w:hAnsi="Arial"/>
          <w:color w:val="333333"/>
          <w:sz w:val="20"/>
          <w:szCs w:val="20"/>
        </w:rPr>
        <w:t xml:space="preserve">Loss or theft of devices containing sensitive data</w:t>
      </w:r>
    </w:p>
    <w:p>
      <w:pPr>
        <w:pStyle w:val="ListParagraph"/>
        <w:numPr>
          <w:ilvl w:val="0"/>
          <w:numId w:val="2"/>
        </w:numPr>
        <w:spacing w:after="60"/>
      </w:pPr>
      <w:r>
        <w:rPr>
          <w:rFonts w:ascii="Arial" w:cs="Arial" w:eastAsia="Arial" w:hAnsi="Arial"/>
          <w:color w:val="333333"/>
          <w:sz w:val="20"/>
          <w:szCs w:val="20"/>
        </w:rPr>
        <w:t xml:space="preserve">Third-party vendor security incidents affecting our systems or data</w:t>
      </w:r>
    </w:p>
    <w:p>
      <w:pPr>
        <w:pStyle w:val="Heading2"/>
        <w:spacing w:before="240" w:after="100"/>
      </w:pPr>
      <w:r>
        <w:rPr>
          <w:rFonts w:ascii="Arial" w:cs="Arial" w:eastAsia="Arial" w:hAnsi="Arial"/>
          <w:b/>
          <w:bCs/>
          <w:color w:val="2E75B6"/>
          <w:sz w:val="24"/>
          <w:szCs w:val="24"/>
        </w:rPr>
        <w:t xml:space="preserve">1.3 Applicability</w:t>
      </w:r>
    </w:p>
    <w:p>
      <w:pPr>
        <w:spacing w:after="120"/>
      </w:pPr>
      <w:r>
        <w:rPr>
          <w:rFonts w:ascii="Arial" w:cs="Arial" w:eastAsia="Arial" w:hAnsi="Arial"/>
          <w:color w:val="333333"/>
          <w:sz w:val="20"/>
          <w:szCs w:val="20"/>
        </w:rPr>
        <w:t xml:space="preserve">This plan applies to all employees, contractors, vendors, and third parties who access [Organization Name]’s information systems, networks, or data. All personnel are responsible for understanding their role in incident response and reporting suspected incidents promptly.</w:t>
      </w:r>
    </w:p>
    <w:p>
      <w:r>
        <w:br w:type="page"/>
      </w:r>
    </w:p>
    <w:p>
      <w:pPr>
        <w:pStyle w:val="Heading1"/>
        <w:spacing w:before="360" w:after="120"/>
      </w:pPr>
      <w:r>
        <w:rPr>
          <w:rFonts w:ascii="Arial" w:cs="Arial" w:eastAsia="Arial" w:hAnsi="Arial"/>
          <w:b/>
          <w:bCs/>
          <w:color w:val="1B3A5C"/>
          <w:sz w:val="28"/>
          <w:szCs w:val="28"/>
        </w:rPr>
        <w:t xml:space="preserve">2. Incident Response Team *</w:t>
      </w:r>
    </w:p>
    <w:p>
      <w:pPr>
        <w:pStyle w:val="Heading2"/>
        <w:spacing w:before="240" w:after="100"/>
      </w:pPr>
      <w:r>
        <w:rPr>
          <w:rFonts w:ascii="Arial" w:cs="Arial" w:eastAsia="Arial" w:hAnsi="Arial"/>
          <w:b/>
          <w:bCs/>
          <w:color w:val="2E75B6"/>
          <w:sz w:val="24"/>
          <w:szCs w:val="24"/>
        </w:rPr>
        <w:t xml:space="preserve">2.1 Team Structure</w:t>
      </w:r>
    </w:p>
    <w:p>
      <w:pPr>
        <w:spacing w:after="120"/>
      </w:pPr>
      <w:r>
        <w:rPr>
          <w:rFonts w:ascii="Arial" w:cs="Arial" w:eastAsia="Arial" w:hAnsi="Arial"/>
          <w:color w:val="333333"/>
          <w:sz w:val="20"/>
          <w:szCs w:val="20"/>
        </w:rPr>
        <w:t xml:space="preserve">The Incident Response Team (IRT) is responsible for coordinating all aspects of incident detection, response, containment, and recovery. The team is activated whenever a confirmed or suspected cybersecurity incident is identified.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800"/>
        <w:gridCol w:w="1800"/>
        <w:gridCol w:w="1800"/>
        <w:gridCol w:w="1200"/>
        <w:gridCol w:w="2760"/>
      </w:tblGrid>
      <w:tr>
        <w:tc>
          <w:tcPr>
            <w:tcW w:type="dxa" w:w="18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Role</w:t>
            </w:r>
          </w:p>
        </w:tc>
        <w:tc>
          <w:tcPr>
            <w:tcW w:type="dxa" w:w="18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Name</w:t>
            </w:r>
          </w:p>
        </w:tc>
        <w:tc>
          <w:tcPr>
            <w:tcW w:type="dxa" w:w="18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Contact</w:t>
            </w:r>
          </w:p>
        </w:tc>
        <w:tc>
          <w:tcPr>
            <w:tcW w:type="dxa" w:w="12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Backup</w:t>
            </w:r>
          </w:p>
        </w:tc>
        <w:tc>
          <w:tcPr>
            <w:tcW w:type="dxa" w:w="276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Responsibilities</w:t>
            </w:r>
          </w:p>
        </w:tc>
      </w:tr>
      <w:tr>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IR Team Leader</w:t>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27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Overall incident coordination, executive briefings, decision authority</w:t>
            </w:r>
          </w:p>
        </w:tc>
      </w:tr>
      <w:tr>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IT/Security Lead</w:t>
            </w:r>
          </w:p>
        </w:tc>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27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Technical investigation, containment, system restoration</w:t>
            </w:r>
          </w:p>
        </w:tc>
      </w:tr>
      <w:tr>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Legal Counsel</w:t>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27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Regulatory compliance, notification obligations, evidence preservation</w:t>
            </w:r>
          </w:p>
        </w:tc>
      </w:tr>
      <w:tr>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Communications Lead</w:t>
            </w:r>
          </w:p>
        </w:tc>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27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Internal/external messaging, media relations, stakeholder updates</w:t>
            </w:r>
          </w:p>
        </w:tc>
      </w:tr>
      <w:tr>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Executive Sponsor</w:t>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27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Strategic decisions, resource authorization, board communication</w:t>
            </w:r>
          </w:p>
        </w:tc>
      </w:tr>
      <w:tr>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HR Representative</w:t>
            </w:r>
          </w:p>
        </w:tc>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27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Insider threat cases, employee communications, personnel actions</w:t>
            </w:r>
          </w:p>
        </w:tc>
      </w:tr>
      <w:tr>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Finance/Risk Manager</w:t>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27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Insurance coordination, cost tracking, vendor payments</w:t>
            </w:r>
          </w:p>
        </w:tc>
      </w:tr>
    </w:tbl>
    <w:p>
      <w:r>
        <w:br w:type="page"/>
      </w:r>
    </w:p>
    <w:p>
      <w:pPr>
        <w:pStyle w:val="Heading2"/>
        <w:spacing w:before="240" w:after="100"/>
      </w:pPr>
      <w:r>
        <w:rPr>
          <w:rFonts w:ascii="Arial" w:cs="Arial" w:eastAsia="Arial" w:hAnsi="Arial"/>
          <w:b/>
          <w:bCs/>
          <w:color w:val="2E75B6"/>
          <w:sz w:val="24"/>
          <w:szCs w:val="24"/>
        </w:rPr>
        <w:t xml:space="preserve">2.2 External Resources</w:t>
      </w:r>
    </w:p>
    <w:p>
      <w:pPr>
        <w:spacing w:after="120"/>
      </w:pPr>
      <w:r>
        <w:rPr>
          <w:rFonts w:ascii="Arial" w:cs="Arial" w:eastAsia="Arial" w:hAnsi="Arial"/>
          <w:color w:val="333333"/>
          <w:sz w:val="20"/>
          <w:szCs w:val="20"/>
        </w:rPr>
        <w:t xml:space="preserve">The following external resources should be engaged as needed during an incident. Confirm that contact information is current and that any required contracts or retainers are in place.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2200"/>
        <w:gridCol w:w="1500"/>
        <w:gridCol w:w="1700"/>
        <w:gridCol w:w="1760"/>
      </w:tblGrid>
      <w:tr>
        <w:tc>
          <w:tcPr>
            <w:tcW w:type="dxa" w:w="22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Resource</w:t>
            </w:r>
          </w:p>
        </w:tc>
        <w:tc>
          <w:tcPr>
            <w:tcW w:type="dxa" w:w="22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Provider / Firm</w:t>
            </w:r>
          </w:p>
        </w:tc>
        <w:tc>
          <w:tcPr>
            <w:tcW w:type="dxa" w:w="15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Contact Name</w:t>
            </w:r>
          </w:p>
        </w:tc>
        <w:tc>
          <w:tcPr>
            <w:tcW w:type="dxa" w:w="17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Phone</w:t>
            </w:r>
          </w:p>
        </w:tc>
        <w:tc>
          <w:tcPr>
            <w:tcW w:type="dxa" w:w="176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Email</w:t>
            </w:r>
          </w:p>
        </w:tc>
      </w:tr>
      <w:tr>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Cyber Insurance Broker</w:t>
            </w:r>
          </w:p>
        </w:tc>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18"/>
                <w:szCs w:val="18"/>
              </w:rPr>
              <w:t xml:space="preserve">First Underwriters</w:t>
            </w:r>
          </w:p>
        </w:tc>
        <w:tc>
          <w:tcPr>
            <w:tcW w:type="dxa" w:w="1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7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18"/>
                <w:szCs w:val="18"/>
              </w:rPr>
              <w:t xml:space="preserve">(425) 242-5357</w:t>
            </w:r>
          </w:p>
        </w:tc>
        <w:tc>
          <w:tcPr>
            <w:tcW w:type="dxa" w:w="17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
            </w:r>
          </w:p>
        </w:tc>
      </w:tr>
      <w:tr>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Cyber Insurance Carrier</w:t>
            </w:r>
          </w:p>
        </w:tc>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5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7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7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
            </w:r>
          </w:p>
        </w:tc>
      </w:tr>
      <w:tr>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Forensic Investigation</w:t>
            </w:r>
          </w:p>
        </w:tc>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7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7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
            </w:r>
          </w:p>
        </w:tc>
      </w:tr>
      <w:tr>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Breach Legal Counsel</w:t>
            </w:r>
          </w:p>
        </w:tc>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5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7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7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
            </w:r>
          </w:p>
        </w:tc>
      </w:tr>
      <w:tr>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Crisis Communications / PR</w:t>
            </w:r>
          </w:p>
        </w:tc>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7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7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
            </w:r>
          </w:p>
        </w:tc>
      </w:tr>
      <w:tr>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Law Enforcement Contact</w:t>
            </w:r>
          </w:p>
        </w:tc>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5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7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7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
            </w:r>
          </w:p>
        </w:tc>
      </w:tr>
      <w:tr>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IT Managed Services (MSP)</w:t>
            </w:r>
          </w:p>
        </w:tc>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7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7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
            </w:r>
          </w:p>
        </w:tc>
      </w:tr>
      <w:tr>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Credit Monitoring Provider</w:t>
            </w:r>
          </w:p>
        </w:tc>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5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7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
            </w:r>
          </w:p>
        </w:tc>
        <w:tc>
          <w:tcPr>
            <w:tcW w:type="dxa" w:w="17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
            </w:r>
          </w:p>
        </w:tc>
      </w:tr>
    </w:tbl>
    <w:p>
      <w:r>
        <w:br w:type="page"/>
      </w:r>
    </w:p>
    <w:p>
      <w:pPr>
        <w:pStyle w:val="Heading1"/>
        <w:spacing w:before="360" w:after="120"/>
      </w:pPr>
      <w:r>
        <w:rPr>
          <w:rFonts w:ascii="Arial" w:cs="Arial" w:eastAsia="Arial" w:hAnsi="Arial"/>
          <w:b/>
          <w:bCs/>
          <w:color w:val="1B3A5C"/>
          <w:sz w:val="28"/>
          <w:szCs w:val="28"/>
        </w:rPr>
        <w:t xml:space="preserve">3. Incident Classification *</w:t>
      </w:r>
    </w:p>
    <w:p>
      <w:pPr>
        <w:pStyle w:val="Heading2"/>
        <w:spacing w:before="240" w:after="100"/>
      </w:pPr>
      <w:r>
        <w:rPr>
          <w:rFonts w:ascii="Arial" w:cs="Arial" w:eastAsia="Arial" w:hAnsi="Arial"/>
          <w:b/>
          <w:bCs/>
          <w:color w:val="2E75B6"/>
          <w:sz w:val="24"/>
          <w:szCs w:val="24"/>
        </w:rPr>
        <w:t xml:space="preserve">3.1 Severity Levels</w:t>
      </w:r>
    </w:p>
    <w:p>
      <w:pPr>
        <w:spacing w:after="120"/>
      </w:pPr>
      <w:r>
        <w:rPr>
          <w:rFonts w:ascii="Arial" w:cs="Arial" w:eastAsia="Arial" w:hAnsi="Arial"/>
          <w:color w:val="333333"/>
          <w:sz w:val="20"/>
          <w:szCs w:val="20"/>
        </w:rPr>
        <w:t xml:space="preserve">All incidents must be classified by severity to determine the appropriate response level, escalation path, and resource allocation. The following severity framework should be used: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100"/>
        <w:gridCol w:w="1600"/>
        <w:gridCol w:w="3330"/>
        <w:gridCol w:w="3330"/>
      </w:tblGrid>
      <w:tr>
        <w:tc>
          <w:tcPr>
            <w:tcW w:type="dxa" w:w="11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Level</w:t>
            </w:r>
          </w:p>
        </w:tc>
        <w:tc>
          <w:tcPr>
            <w:tcW w:type="dxa" w:w="16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Severity</w:t>
            </w:r>
          </w:p>
        </w:tc>
        <w:tc>
          <w:tcPr>
            <w:tcW w:type="dxa" w:w="333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Description</w:t>
            </w:r>
          </w:p>
        </w:tc>
        <w:tc>
          <w:tcPr>
            <w:tcW w:type="dxa" w:w="333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Response Requirement</w:t>
            </w:r>
          </w:p>
        </w:tc>
      </w:tr>
      <w:tr>
        <w:tc>
          <w:tcPr>
            <w:tcW w:type="dxa" w:w="11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1</w:t>
            </w:r>
          </w:p>
        </w:tc>
        <w:tc>
          <w:tcPr>
            <w:tcW w:type="dxa" w:w="16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Critical</w:t>
            </w:r>
          </w:p>
        </w:tc>
        <w:tc>
          <w:tcPr>
            <w:tcW w:type="dxa" w:w="333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Active data breach with confirmed exfiltration of sensitive data; ransomware with encryption of critical systems; complete business disruption</w:t>
            </w:r>
          </w:p>
        </w:tc>
        <w:tc>
          <w:tcPr>
            <w:tcW w:type="dxa" w:w="333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Immediate IRT activation; executive notification within 1 hour; insurance carrier notice within 4 hours; forensic engagement required</w:t>
            </w:r>
          </w:p>
        </w:tc>
      </w:tr>
      <w:tr>
        <w:tc>
          <w:tcPr>
            <w:tcW w:type="dxa" w:w="11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2</w:t>
            </w:r>
          </w:p>
        </w:tc>
        <w:tc>
          <w:tcPr>
            <w:tcW w:type="dxa" w:w="16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High</w:t>
            </w:r>
          </w:p>
        </w:tc>
        <w:tc>
          <w:tcPr>
            <w:tcW w:type="dxa" w:w="333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Unauthorized access to systems containing sensitive data; malware with potential for lateral movement; BEC with financial loss; partial business disruption</w:t>
            </w:r>
          </w:p>
        </w:tc>
        <w:tc>
          <w:tcPr>
            <w:tcW w:type="dxa" w:w="333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IRT activation within 2 hours; executive notification within 4 hours; insurance carrier notice within 24 hours; forensic engagement likely</w:t>
            </w:r>
          </w:p>
        </w:tc>
      </w:tr>
      <w:tr>
        <w:tc>
          <w:tcPr>
            <w:tcW w:type="dxa" w:w="11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3</w:t>
            </w:r>
          </w:p>
        </w:tc>
        <w:tc>
          <w:tcPr>
            <w:tcW w:type="dxa" w:w="16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Medium</w:t>
            </w:r>
          </w:p>
        </w:tc>
        <w:tc>
          <w:tcPr>
            <w:tcW w:type="dxa" w:w="333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Phishing with credential compromise (no confirmed data access); isolated malware infection; unauthorized access attempt blocked; minor service disruption</w:t>
            </w:r>
          </w:p>
        </w:tc>
        <w:tc>
          <w:tcPr>
            <w:tcW w:type="dxa" w:w="333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IT-led response within 4 hours; IRT leader notified; monitoring enhanced; insurance carrier notice at discretion</w:t>
            </w:r>
          </w:p>
        </w:tc>
      </w:tr>
      <w:tr>
        <w:tc>
          <w:tcPr>
            <w:tcW w:type="dxa" w:w="11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4</w:t>
            </w:r>
          </w:p>
        </w:tc>
        <w:tc>
          <w:tcPr>
            <w:tcW w:type="dxa" w:w="16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Low</w:t>
            </w:r>
          </w:p>
        </w:tc>
        <w:tc>
          <w:tcPr>
            <w:tcW w:type="dxa" w:w="333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Failed attack attempts; policy violations without data exposure; suspicious activity under investigation; no business impact</w:t>
            </w:r>
          </w:p>
        </w:tc>
        <w:tc>
          <w:tcPr>
            <w:tcW w:type="dxa" w:w="333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IT investigation within 24 hours; documented in incident log; escalated if severity increases</w:t>
            </w:r>
          </w:p>
        </w:tc>
      </w:tr>
    </w:tbl>
    <w:p>
      <w:pPr>
        <w:pStyle w:val="Heading2"/>
        <w:spacing w:before="240" w:after="100"/>
      </w:pPr>
      <w:r>
        <w:rPr>
          <w:rFonts w:ascii="Arial" w:cs="Arial" w:eastAsia="Arial" w:hAnsi="Arial"/>
          <w:b/>
          <w:bCs/>
          <w:color w:val="2E75B6"/>
          <w:sz w:val="24"/>
          <w:szCs w:val="24"/>
        </w:rPr>
        <w:t xml:space="preserve">3.2 Incident Categories</w:t>
      </w:r>
    </w:p>
    <w:p>
      <w:pPr>
        <w:spacing w:after="120"/>
      </w:pPr>
      <w:r>
        <w:rPr>
          <w:rFonts w:ascii="Arial" w:cs="Arial" w:eastAsia="Arial" w:hAnsi="Arial"/>
          <w:color w:val="333333"/>
          <w:sz w:val="20"/>
          <w:szCs w:val="20"/>
        </w:rPr>
        <w:t xml:space="preserve">Use the following categories to classify the type of incident for reporting, tracking, and insurance purposes:</w:t>
      </w:r>
    </w:p>
    <w:p>
      <w:pPr>
        <w:pStyle w:val="ListParagraph"/>
        <w:numPr>
          <w:ilvl w:val="0"/>
          <w:numId w:val="2"/>
        </w:numPr>
        <w:spacing w:after="60"/>
      </w:pPr>
      <w:r>
        <w:rPr>
          <w:rFonts w:ascii="Arial" w:cs="Arial" w:eastAsia="Arial" w:hAnsi="Arial"/>
          <w:b/>
          <w:bCs/>
          <w:color w:val="333333"/>
          <w:sz w:val="20"/>
          <w:szCs w:val="20"/>
        </w:rPr>
        <w:t xml:space="preserve">Ransomware/Malware: </w:t>
      </w:r>
      <w:r>
        <w:rPr>
          <w:rFonts w:ascii="Arial" w:cs="Arial" w:eastAsia="Arial" w:hAnsi="Arial"/>
          <w:color w:val="333333"/>
          <w:sz w:val="20"/>
          <w:szCs w:val="20"/>
        </w:rPr>
        <w:t xml:space="preserve">Malicious software that encrypts, damages, or compromises systems or data.</w:t>
      </w:r>
    </w:p>
    <w:p>
      <w:pPr>
        <w:pStyle w:val="ListParagraph"/>
        <w:numPr>
          <w:ilvl w:val="0"/>
          <w:numId w:val="2"/>
        </w:numPr>
        <w:spacing w:after="60"/>
      </w:pPr>
      <w:r>
        <w:rPr>
          <w:rFonts w:ascii="Arial" w:cs="Arial" w:eastAsia="Arial" w:hAnsi="Arial"/>
          <w:b/>
          <w:bCs/>
          <w:color w:val="333333"/>
          <w:sz w:val="20"/>
          <w:szCs w:val="20"/>
        </w:rPr>
        <w:t xml:space="preserve">Data Breach: </w:t>
      </w:r>
      <w:r>
        <w:rPr>
          <w:rFonts w:ascii="Arial" w:cs="Arial" w:eastAsia="Arial" w:hAnsi="Arial"/>
          <w:color w:val="333333"/>
          <w:sz w:val="20"/>
          <w:szCs w:val="20"/>
        </w:rPr>
        <w:t xml:space="preserve">Unauthorized access to or exfiltration of personal, financial, or proprietary information.</w:t>
      </w:r>
    </w:p>
    <w:p>
      <w:pPr>
        <w:pStyle w:val="ListParagraph"/>
        <w:numPr>
          <w:ilvl w:val="0"/>
          <w:numId w:val="2"/>
        </w:numPr>
        <w:spacing w:after="60"/>
      </w:pPr>
      <w:r>
        <w:rPr>
          <w:rFonts w:ascii="Arial" w:cs="Arial" w:eastAsia="Arial" w:hAnsi="Arial"/>
          <w:b/>
          <w:bCs/>
          <w:color w:val="333333"/>
          <w:sz w:val="20"/>
          <w:szCs w:val="20"/>
        </w:rPr>
        <w:t xml:space="preserve">Business Email Compromise: </w:t>
      </w:r>
      <w:r>
        <w:rPr>
          <w:rFonts w:ascii="Arial" w:cs="Arial" w:eastAsia="Arial" w:hAnsi="Arial"/>
          <w:color w:val="333333"/>
          <w:sz w:val="20"/>
          <w:szCs w:val="20"/>
        </w:rPr>
        <w:t xml:space="preserve">Unauthorized use of email accounts for fraud, impersonation, or data theft.</w:t>
      </w:r>
    </w:p>
    <w:p>
      <w:pPr>
        <w:pStyle w:val="ListParagraph"/>
        <w:numPr>
          <w:ilvl w:val="0"/>
          <w:numId w:val="2"/>
        </w:numPr>
        <w:spacing w:after="60"/>
      </w:pPr>
      <w:r>
        <w:rPr>
          <w:rFonts w:ascii="Arial" w:cs="Arial" w:eastAsia="Arial" w:hAnsi="Arial"/>
          <w:b/>
          <w:bCs/>
          <w:color w:val="333333"/>
          <w:sz w:val="20"/>
          <w:szCs w:val="20"/>
        </w:rPr>
        <w:t xml:space="preserve">Denial of Service: </w:t>
      </w:r>
      <w:r>
        <w:rPr>
          <w:rFonts w:ascii="Arial" w:cs="Arial" w:eastAsia="Arial" w:hAnsi="Arial"/>
          <w:color w:val="333333"/>
          <w:sz w:val="20"/>
          <w:szCs w:val="20"/>
        </w:rPr>
        <w:t xml:space="preserve">Attacks that disrupt the availability of systems, networks, or services.</w:t>
      </w:r>
    </w:p>
    <w:p>
      <w:pPr>
        <w:pStyle w:val="ListParagraph"/>
        <w:numPr>
          <w:ilvl w:val="0"/>
          <w:numId w:val="2"/>
        </w:numPr>
        <w:spacing w:after="60"/>
      </w:pPr>
      <w:r>
        <w:rPr>
          <w:rFonts w:ascii="Arial" w:cs="Arial" w:eastAsia="Arial" w:hAnsi="Arial"/>
          <w:b/>
          <w:bCs/>
          <w:color w:val="333333"/>
          <w:sz w:val="20"/>
          <w:szCs w:val="20"/>
        </w:rPr>
        <w:t xml:space="preserve">Insider Threat: </w:t>
      </w:r>
      <w:r>
        <w:rPr>
          <w:rFonts w:ascii="Arial" w:cs="Arial" w:eastAsia="Arial" w:hAnsi="Arial"/>
          <w:color w:val="333333"/>
          <w:sz w:val="20"/>
          <w:szCs w:val="20"/>
        </w:rPr>
        <w:t xml:space="preserve">Malicious or negligent actions by employees, contractors, or trusted parties.</w:t>
      </w:r>
    </w:p>
    <w:p>
      <w:pPr>
        <w:pStyle w:val="ListParagraph"/>
        <w:numPr>
          <w:ilvl w:val="0"/>
          <w:numId w:val="2"/>
        </w:numPr>
        <w:spacing w:after="60"/>
      </w:pPr>
      <w:r>
        <w:rPr>
          <w:rFonts w:ascii="Arial" w:cs="Arial" w:eastAsia="Arial" w:hAnsi="Arial"/>
          <w:b/>
          <w:bCs/>
          <w:color w:val="333333"/>
          <w:sz w:val="20"/>
          <w:szCs w:val="20"/>
        </w:rPr>
        <w:t xml:space="preserve">Physical Security: </w:t>
      </w:r>
      <w:r>
        <w:rPr>
          <w:rFonts w:ascii="Arial" w:cs="Arial" w:eastAsia="Arial" w:hAnsi="Arial"/>
          <w:color w:val="333333"/>
          <w:sz w:val="20"/>
          <w:szCs w:val="20"/>
        </w:rPr>
        <w:t xml:space="preserve">Loss, theft, or unauthorized physical access to devices or facilities.</w:t>
      </w:r>
    </w:p>
    <w:p>
      <w:pPr>
        <w:pStyle w:val="ListParagraph"/>
        <w:numPr>
          <w:ilvl w:val="0"/>
          <w:numId w:val="2"/>
        </w:numPr>
        <w:spacing w:after="60"/>
      </w:pPr>
      <w:r>
        <w:rPr>
          <w:rFonts w:ascii="Arial" w:cs="Arial" w:eastAsia="Arial" w:hAnsi="Arial"/>
          <w:b/>
          <w:bCs/>
          <w:color w:val="333333"/>
          <w:sz w:val="20"/>
          <w:szCs w:val="20"/>
        </w:rPr>
        <w:t xml:space="preserve">Third-Party/Supply Chain: </w:t>
      </w:r>
      <w:r>
        <w:rPr>
          <w:rFonts w:ascii="Arial" w:cs="Arial" w:eastAsia="Arial" w:hAnsi="Arial"/>
          <w:color w:val="333333"/>
          <w:sz w:val="20"/>
          <w:szCs w:val="20"/>
        </w:rPr>
        <w:t xml:space="preserve">Incidents originating from vendors, partners, or service providers.</w:t>
      </w:r>
    </w:p>
    <w:p>
      <w:pPr>
        <w:pStyle w:val="ListParagraph"/>
        <w:numPr>
          <w:ilvl w:val="0"/>
          <w:numId w:val="2"/>
        </w:numPr>
        <w:spacing w:after="60"/>
      </w:pPr>
      <w:r>
        <w:rPr>
          <w:rFonts w:ascii="Arial" w:cs="Arial" w:eastAsia="Arial" w:hAnsi="Arial"/>
          <w:b/>
          <w:bCs/>
          <w:color w:val="333333"/>
          <w:sz w:val="20"/>
          <w:szCs w:val="20"/>
        </w:rPr>
        <w:t xml:space="preserve">Social Engineering: </w:t>
      </w:r>
      <w:r>
        <w:rPr>
          <w:rFonts w:ascii="Arial" w:cs="Arial" w:eastAsia="Arial" w:hAnsi="Arial"/>
          <w:color w:val="333333"/>
          <w:sz w:val="20"/>
          <w:szCs w:val="20"/>
        </w:rPr>
        <w:t xml:space="preserve">Phishing, vishing, pretexting, or other manipulation-based attacks.</w:t>
      </w:r>
    </w:p>
    <w:p>
      <w:r>
        <w:br w:type="page"/>
      </w:r>
    </w:p>
    <w:p>
      <w:pPr>
        <w:pStyle w:val="Heading1"/>
        <w:spacing w:before="360" w:after="120"/>
      </w:pPr>
      <w:r>
        <w:rPr>
          <w:rFonts w:ascii="Arial" w:cs="Arial" w:eastAsia="Arial" w:hAnsi="Arial"/>
          <w:b/>
          <w:bCs/>
          <w:color w:val="1B3A5C"/>
          <w:sz w:val="28"/>
          <w:szCs w:val="28"/>
        </w:rPr>
        <w:t xml:space="preserve">4. Incident Response Procedures *</w:t>
      </w:r>
    </w:p>
    <w:p>
      <w:pPr>
        <w:spacing w:after="120"/>
      </w:pPr>
      <w:r>
        <w:rPr>
          <w:rFonts w:ascii="Arial" w:cs="Arial" w:eastAsia="Arial" w:hAnsi="Arial"/>
          <w:color w:val="333333"/>
          <w:sz w:val="20"/>
          <w:szCs w:val="20"/>
        </w:rPr>
        <w:t xml:space="preserve">The incident response process follows six phases. Each phase includes specific actions, responsibilities, and documentation requirements. Refer to the First 24 Hours Checklist for a time-based quick-reference guide.</w:t>
      </w:r>
    </w:p>
    <w:p>
      <w:pPr>
        <w:pStyle w:val="Heading2"/>
        <w:spacing w:before="240" w:after="100"/>
      </w:pPr>
      <w:r>
        <w:rPr>
          <w:rFonts w:ascii="Arial" w:cs="Arial" w:eastAsia="Arial" w:hAnsi="Arial"/>
          <w:b/>
          <w:bCs/>
          <w:color w:val="2E75B6"/>
          <w:sz w:val="24"/>
          <w:szCs w:val="24"/>
        </w:rPr>
        <w:t xml:space="preserve">4.1 Phase 1: Preparation</w:t>
      </w:r>
    </w:p>
    <w:p>
      <w:pPr>
        <w:spacing w:after="120"/>
      </w:pPr>
      <w:r>
        <w:rPr>
          <w:rFonts w:ascii="Arial" w:cs="Arial" w:eastAsia="Arial" w:hAnsi="Arial"/>
          <w:color w:val="333333"/>
          <w:sz w:val="20"/>
          <w:szCs w:val="20"/>
        </w:rPr>
        <w:t xml:space="preserve">Preparation activities ensure the organization is ready to respond effectively before an incident occurs.</w:t>
      </w:r>
    </w:p>
    <w:p>
      <w:pPr>
        <w:pStyle w:val="ListParagraph"/>
        <w:numPr>
          <w:ilvl w:val="0"/>
          <w:numId w:val="2"/>
        </w:numPr>
        <w:spacing w:after="60"/>
      </w:pPr>
      <w:r>
        <w:rPr>
          <w:rFonts w:ascii="Arial" w:cs="Arial" w:eastAsia="Arial" w:hAnsi="Arial"/>
          <w:b/>
          <w:bCs/>
          <w:color w:val="333333"/>
          <w:sz w:val="20"/>
          <w:szCs w:val="20"/>
        </w:rPr>
        <w:t xml:space="preserve">Security Controls: </w:t>
      </w:r>
      <w:r>
        <w:rPr>
          <w:rFonts w:ascii="Arial" w:cs="Arial" w:eastAsia="Arial" w:hAnsi="Arial"/>
          <w:color w:val="333333"/>
          <w:sz w:val="20"/>
          <w:szCs w:val="20"/>
        </w:rPr>
        <w:t xml:space="preserve">Maintain and regularly update firewalls, endpoint protection, email filtering, MFA, and network monitoring tools.</w:t>
      </w:r>
    </w:p>
    <w:p>
      <w:pPr>
        <w:pStyle w:val="ListParagraph"/>
        <w:numPr>
          <w:ilvl w:val="0"/>
          <w:numId w:val="2"/>
        </w:numPr>
        <w:spacing w:after="60"/>
      </w:pPr>
      <w:r>
        <w:rPr>
          <w:rFonts w:ascii="Arial" w:cs="Arial" w:eastAsia="Arial" w:hAnsi="Arial"/>
          <w:b/>
          <w:bCs/>
          <w:color w:val="333333"/>
          <w:sz w:val="20"/>
          <w:szCs w:val="20"/>
        </w:rPr>
        <w:t xml:space="preserve">Backup Strategy: </w:t>
      </w:r>
      <w:r>
        <w:rPr>
          <w:rFonts w:ascii="Arial" w:cs="Arial" w:eastAsia="Arial" w:hAnsi="Arial"/>
          <w:color w:val="333333"/>
          <w:sz w:val="20"/>
          <w:szCs w:val="20"/>
        </w:rPr>
        <w:t xml:space="preserve">Implement and test a 3-2-1 backup strategy with immutable/air-gapped copies. Refer to the Backup Recovery Template.</w:t>
      </w:r>
    </w:p>
    <w:p>
      <w:pPr>
        <w:pStyle w:val="ListParagraph"/>
        <w:numPr>
          <w:ilvl w:val="0"/>
          <w:numId w:val="2"/>
        </w:numPr>
        <w:spacing w:after="60"/>
      </w:pPr>
      <w:r>
        <w:rPr>
          <w:rFonts w:ascii="Arial" w:cs="Arial" w:eastAsia="Arial" w:hAnsi="Arial"/>
          <w:b/>
          <w:bCs/>
          <w:color w:val="333333"/>
          <w:sz w:val="20"/>
          <w:szCs w:val="20"/>
        </w:rPr>
        <w:t xml:space="preserve">Training: </w:t>
      </w:r>
      <w:r>
        <w:rPr>
          <w:rFonts w:ascii="Arial" w:cs="Arial" w:eastAsia="Arial" w:hAnsi="Arial"/>
          <w:color w:val="333333"/>
          <w:sz w:val="20"/>
          <w:szCs w:val="20"/>
        </w:rPr>
        <w:t xml:space="preserve">Conduct annual security awareness training for all employees and quarterly phishing simulations.</w:t>
      </w:r>
    </w:p>
    <w:p>
      <w:pPr>
        <w:pStyle w:val="ListParagraph"/>
        <w:numPr>
          <w:ilvl w:val="0"/>
          <w:numId w:val="2"/>
        </w:numPr>
        <w:spacing w:after="60"/>
      </w:pPr>
      <w:r>
        <w:rPr>
          <w:rFonts w:ascii="Arial" w:cs="Arial" w:eastAsia="Arial" w:hAnsi="Arial"/>
          <w:b/>
          <w:bCs/>
          <w:color w:val="333333"/>
          <w:sz w:val="20"/>
          <w:szCs w:val="20"/>
        </w:rPr>
        <w:t xml:space="preserve">Tabletop Exercises: </w:t>
      </w:r>
      <w:r>
        <w:rPr>
          <w:rFonts w:ascii="Arial" w:cs="Arial" w:eastAsia="Arial" w:hAnsi="Arial"/>
          <w:color w:val="333333"/>
          <w:sz w:val="20"/>
          <w:szCs w:val="20"/>
        </w:rPr>
        <w:t xml:space="preserve">Conduct at least one tabletop incident response exercise per year with the full IRT.</w:t>
      </w:r>
    </w:p>
    <w:p>
      <w:pPr>
        <w:pStyle w:val="ListParagraph"/>
        <w:numPr>
          <w:ilvl w:val="0"/>
          <w:numId w:val="2"/>
        </w:numPr>
        <w:spacing w:after="60"/>
      </w:pPr>
      <w:r>
        <w:rPr>
          <w:rFonts w:ascii="Arial" w:cs="Arial" w:eastAsia="Arial" w:hAnsi="Arial"/>
          <w:b/>
          <w:bCs/>
          <w:color w:val="333333"/>
          <w:sz w:val="20"/>
          <w:szCs w:val="20"/>
        </w:rPr>
        <w:t xml:space="preserve">Vendor Readiness: </w:t>
      </w:r>
      <w:r>
        <w:rPr>
          <w:rFonts w:ascii="Arial" w:cs="Arial" w:eastAsia="Arial" w:hAnsi="Arial"/>
          <w:color w:val="333333"/>
          <w:sz w:val="20"/>
          <w:szCs w:val="20"/>
        </w:rPr>
        <w:t xml:space="preserve">Maintain current retainer agreements with forensic, legal, and communications providers.</w:t>
      </w:r>
    </w:p>
    <w:p>
      <w:pPr>
        <w:pStyle w:val="ListParagraph"/>
        <w:numPr>
          <w:ilvl w:val="0"/>
          <w:numId w:val="2"/>
        </w:numPr>
        <w:spacing w:after="60"/>
      </w:pPr>
      <w:r>
        <w:rPr>
          <w:rFonts w:ascii="Arial" w:cs="Arial" w:eastAsia="Arial" w:hAnsi="Arial"/>
          <w:b/>
          <w:bCs/>
          <w:color w:val="333333"/>
          <w:sz w:val="20"/>
          <w:szCs w:val="20"/>
        </w:rPr>
        <w:t xml:space="preserve">Insurance Review: </w:t>
      </w:r>
      <w:r>
        <w:rPr>
          <w:rFonts w:ascii="Arial" w:cs="Arial" w:eastAsia="Arial" w:hAnsi="Arial"/>
          <w:color w:val="333333"/>
          <w:sz w:val="20"/>
          <w:szCs w:val="20"/>
        </w:rPr>
        <w:t xml:space="preserve">Review cyber liability policy annually to confirm coverage limits, notification requirements, and approved vendors.</w:t>
      </w:r>
    </w:p>
    <w:p>
      <w:pPr>
        <w:pStyle w:val="Heading2"/>
        <w:spacing w:before="240" w:after="100"/>
      </w:pPr>
      <w:r>
        <w:rPr>
          <w:rFonts w:ascii="Arial" w:cs="Arial" w:eastAsia="Arial" w:hAnsi="Arial"/>
          <w:b/>
          <w:bCs/>
          <w:color w:val="2E75B6"/>
          <w:sz w:val="24"/>
          <w:szCs w:val="24"/>
        </w:rPr>
        <w:t xml:space="preserve">4.2 Phase 2: Detection and Analysis</w:t>
      </w:r>
    </w:p>
    <w:p>
      <w:pPr>
        <w:spacing w:after="120"/>
      </w:pPr>
      <w:r>
        <w:rPr>
          <w:rFonts w:ascii="Arial" w:cs="Arial" w:eastAsia="Arial" w:hAnsi="Arial"/>
          <w:color w:val="333333"/>
          <w:sz w:val="20"/>
          <w:szCs w:val="20"/>
        </w:rPr>
        <w:t xml:space="preserve">Rapid detection and accurate analysis are essential to limiting the scope and impact of an incident.</w:t>
      </w:r>
    </w:p>
    <w:p>
      <w:pPr>
        <w:spacing w:before="200" w:after="80"/>
      </w:pPr>
      <w:r>
        <w:rPr>
          <w:rFonts w:ascii="Arial" w:cs="Arial" w:eastAsia="Arial" w:hAnsi="Arial"/>
          <w:b/>
          <w:bCs/>
          <w:color w:val="1B3A5C"/>
          <w:sz w:val="22"/>
          <w:szCs w:val="22"/>
        </w:rPr>
        <w:t xml:space="preserve">Detection Sources</w:t>
      </w:r>
    </w:p>
    <w:p>
      <w:pPr>
        <w:pStyle w:val="ListParagraph"/>
        <w:numPr>
          <w:ilvl w:val="0"/>
          <w:numId w:val="2"/>
        </w:numPr>
        <w:spacing w:after="60"/>
      </w:pPr>
      <w:r>
        <w:rPr>
          <w:rFonts w:ascii="Arial" w:cs="Arial" w:eastAsia="Arial" w:hAnsi="Arial"/>
          <w:color w:val="333333"/>
          <w:sz w:val="20"/>
          <w:szCs w:val="20"/>
        </w:rPr>
        <w:t xml:space="preserve">Security Information and Event Management (SIEM) alerts</w:t>
      </w:r>
    </w:p>
    <w:p>
      <w:pPr>
        <w:pStyle w:val="ListParagraph"/>
        <w:numPr>
          <w:ilvl w:val="0"/>
          <w:numId w:val="2"/>
        </w:numPr>
        <w:spacing w:after="60"/>
      </w:pPr>
      <w:r>
        <w:rPr>
          <w:rFonts w:ascii="Arial" w:cs="Arial" w:eastAsia="Arial" w:hAnsi="Arial"/>
          <w:color w:val="333333"/>
          <w:sz w:val="20"/>
          <w:szCs w:val="20"/>
        </w:rPr>
        <w:t xml:space="preserve">Endpoint detection and response (EDR) notifications</w:t>
      </w:r>
    </w:p>
    <w:p>
      <w:pPr>
        <w:pStyle w:val="ListParagraph"/>
        <w:numPr>
          <w:ilvl w:val="0"/>
          <w:numId w:val="2"/>
        </w:numPr>
        <w:spacing w:after="60"/>
      </w:pPr>
      <w:r>
        <w:rPr>
          <w:rFonts w:ascii="Arial" w:cs="Arial" w:eastAsia="Arial" w:hAnsi="Arial"/>
          <w:color w:val="333333"/>
          <w:sz w:val="20"/>
          <w:szCs w:val="20"/>
        </w:rPr>
        <w:t xml:space="preserve">Employee reports of suspicious activity</w:t>
      </w:r>
    </w:p>
    <w:p>
      <w:pPr>
        <w:pStyle w:val="ListParagraph"/>
        <w:numPr>
          <w:ilvl w:val="0"/>
          <w:numId w:val="2"/>
        </w:numPr>
        <w:spacing w:after="60"/>
      </w:pPr>
      <w:r>
        <w:rPr>
          <w:rFonts w:ascii="Arial" w:cs="Arial" w:eastAsia="Arial" w:hAnsi="Arial"/>
          <w:color w:val="333333"/>
          <w:sz w:val="20"/>
          <w:szCs w:val="20"/>
        </w:rPr>
        <w:t xml:space="preserve">Vendor or third-party notifications</w:t>
      </w:r>
    </w:p>
    <w:p>
      <w:pPr>
        <w:pStyle w:val="ListParagraph"/>
        <w:numPr>
          <w:ilvl w:val="0"/>
          <w:numId w:val="2"/>
        </w:numPr>
        <w:spacing w:after="60"/>
      </w:pPr>
      <w:r>
        <w:rPr>
          <w:rFonts w:ascii="Arial" w:cs="Arial" w:eastAsia="Arial" w:hAnsi="Arial"/>
          <w:color w:val="333333"/>
          <w:sz w:val="20"/>
          <w:szCs w:val="20"/>
        </w:rPr>
        <w:t xml:space="preserve">Law enforcement or regulatory agency notifications</w:t>
      </w:r>
    </w:p>
    <w:p>
      <w:pPr>
        <w:pStyle w:val="ListParagraph"/>
        <w:numPr>
          <w:ilvl w:val="0"/>
          <w:numId w:val="2"/>
        </w:numPr>
        <w:spacing w:after="60"/>
      </w:pPr>
      <w:r>
        <w:rPr>
          <w:rFonts w:ascii="Arial" w:cs="Arial" w:eastAsia="Arial" w:hAnsi="Arial"/>
          <w:color w:val="333333"/>
          <w:sz w:val="20"/>
          <w:szCs w:val="20"/>
        </w:rPr>
        <w:t xml:space="preserve">Dark web monitoring alerts</w:t>
      </w:r>
    </w:p>
    <w:p>
      <w:pPr>
        <w:pStyle w:val="ListParagraph"/>
        <w:numPr>
          <w:ilvl w:val="0"/>
          <w:numId w:val="2"/>
        </w:numPr>
        <w:spacing w:after="60"/>
      </w:pPr>
      <w:r>
        <w:rPr>
          <w:rFonts w:ascii="Arial" w:cs="Arial" w:eastAsia="Arial" w:hAnsi="Arial"/>
          <w:color w:val="333333"/>
          <w:sz w:val="20"/>
          <w:szCs w:val="20"/>
        </w:rPr>
        <w:t xml:space="preserve">Customer or partner reports</w:t>
      </w:r>
    </w:p>
    <w:p>
      <w:pPr>
        <w:spacing w:before="200" w:after="80"/>
      </w:pPr>
      <w:r>
        <w:rPr>
          <w:rFonts w:ascii="Arial" w:cs="Arial" w:eastAsia="Arial" w:hAnsi="Arial"/>
          <w:b/>
          <w:bCs/>
          <w:color w:val="1B3A5C"/>
          <w:sz w:val="22"/>
          <w:szCs w:val="22"/>
        </w:rPr>
        <w:t xml:space="preserve">Initial Analysis Steps</w:t>
      </w:r>
    </w:p>
    <w:p>
      <w:pPr>
        <w:pStyle w:val="ListParagraph"/>
        <w:numPr>
          <w:ilvl w:val="0"/>
          <w:numId w:val="3"/>
        </w:numPr>
        <w:spacing w:after="60"/>
      </w:pPr>
      <w:r>
        <w:rPr>
          <w:rFonts w:ascii="Arial" w:cs="Arial" w:eastAsia="Arial" w:hAnsi="Arial"/>
          <w:color w:val="333333"/>
          <w:sz w:val="20"/>
          <w:szCs w:val="20"/>
        </w:rPr>
        <w:t xml:space="preserve">Confirm the incident is genuine (rule out false positives and planned activity)</w:t>
      </w:r>
    </w:p>
    <w:p>
      <w:pPr>
        <w:pStyle w:val="ListParagraph"/>
        <w:numPr>
          <w:ilvl w:val="0"/>
          <w:numId w:val="3"/>
        </w:numPr>
        <w:spacing w:after="60"/>
      </w:pPr>
      <w:r>
        <w:rPr>
          <w:rFonts w:ascii="Arial" w:cs="Arial" w:eastAsia="Arial" w:hAnsi="Arial"/>
          <w:color w:val="333333"/>
          <w:sz w:val="20"/>
          <w:szCs w:val="20"/>
        </w:rPr>
        <w:t xml:space="preserve">Determine the type and category of incident</w:t>
      </w:r>
    </w:p>
    <w:p>
      <w:pPr>
        <w:pStyle w:val="ListParagraph"/>
        <w:numPr>
          <w:ilvl w:val="0"/>
          <w:numId w:val="3"/>
        </w:numPr>
        <w:spacing w:after="60"/>
      </w:pPr>
      <w:r>
        <w:rPr>
          <w:rFonts w:ascii="Arial" w:cs="Arial" w:eastAsia="Arial" w:hAnsi="Arial"/>
          <w:color w:val="333333"/>
          <w:sz w:val="20"/>
          <w:szCs w:val="20"/>
        </w:rPr>
        <w:t xml:space="preserve">Assess initial scope: systems, data, users, and business functions affected</w:t>
      </w:r>
    </w:p>
    <w:p>
      <w:pPr>
        <w:pStyle w:val="ListParagraph"/>
        <w:numPr>
          <w:ilvl w:val="0"/>
          <w:numId w:val="3"/>
        </w:numPr>
        <w:spacing w:after="60"/>
      </w:pPr>
      <w:r>
        <w:rPr>
          <w:rFonts w:ascii="Arial" w:cs="Arial" w:eastAsia="Arial" w:hAnsi="Arial"/>
          <w:color w:val="333333"/>
          <w:sz w:val="20"/>
          <w:szCs w:val="20"/>
        </w:rPr>
        <w:t xml:space="preserve">Assign severity level based on the classification framework</w:t>
      </w:r>
    </w:p>
    <w:p>
      <w:pPr>
        <w:pStyle w:val="ListParagraph"/>
        <w:numPr>
          <w:ilvl w:val="0"/>
          <w:numId w:val="3"/>
        </w:numPr>
        <w:spacing w:after="60"/>
      </w:pPr>
      <w:r>
        <w:rPr>
          <w:rFonts w:ascii="Arial" w:cs="Arial" w:eastAsia="Arial" w:hAnsi="Arial"/>
          <w:color w:val="333333"/>
          <w:sz w:val="20"/>
          <w:szCs w:val="20"/>
        </w:rPr>
        <w:t xml:space="preserve">Document all findings in the incident log with timestamps</w:t>
      </w:r>
    </w:p>
    <w:p>
      <w:pPr>
        <w:pStyle w:val="ListParagraph"/>
        <w:numPr>
          <w:ilvl w:val="0"/>
          <w:numId w:val="3"/>
        </w:numPr>
        <w:spacing w:after="60"/>
      </w:pPr>
      <w:r>
        <w:rPr>
          <w:rFonts w:ascii="Arial" w:cs="Arial" w:eastAsia="Arial" w:hAnsi="Arial"/>
          <w:color w:val="333333"/>
          <w:sz w:val="20"/>
          <w:szCs w:val="20"/>
        </w:rPr>
        <w:t xml:space="preserve">Escalate to the appropriate IRT members based on severity</w:t>
      </w:r>
    </w:p>
    <w:p>
      <w:r>
        <w:br w:type="page"/>
      </w:r>
    </w:p>
    <w:p>
      <w:pPr>
        <w:pStyle w:val="Heading2"/>
        <w:spacing w:before="240" w:after="100"/>
      </w:pPr>
      <w:r>
        <w:rPr>
          <w:rFonts w:ascii="Arial" w:cs="Arial" w:eastAsia="Arial" w:hAnsi="Arial"/>
          <w:b/>
          <w:bCs/>
          <w:color w:val="2E75B6"/>
          <w:sz w:val="24"/>
          <w:szCs w:val="24"/>
        </w:rPr>
        <w:t xml:space="preserve">4.3 Phase 3: Containment</w:t>
      </w:r>
    </w:p>
    <w:p>
      <w:pPr>
        <w:spacing w:after="120"/>
      </w:pPr>
      <w:r>
        <w:rPr>
          <w:rFonts w:ascii="Arial" w:cs="Arial" w:eastAsia="Arial" w:hAnsi="Arial"/>
          <w:color w:val="333333"/>
          <w:sz w:val="20"/>
          <w:szCs w:val="20"/>
        </w:rPr>
        <w:t xml:space="preserve">Containment actions stop the spread of the incident while preserving evidence for forensic analysis.</w:t>
      </w:r>
    </w:p>
    <w:p>
      <w:pPr>
        <w:spacing w:before="200" w:after="80"/>
      </w:pPr>
      <w:r>
        <w:rPr>
          <w:rFonts w:ascii="Arial" w:cs="Arial" w:eastAsia="Arial" w:hAnsi="Arial"/>
          <w:b/>
          <w:bCs/>
          <w:color w:val="1B3A5C"/>
          <w:sz w:val="22"/>
          <w:szCs w:val="22"/>
        </w:rPr>
        <w:t xml:space="preserve">Short-Term Containment (Immediate)</w:t>
      </w:r>
    </w:p>
    <w:p>
      <w:pPr>
        <w:pStyle w:val="ListParagraph"/>
        <w:numPr>
          <w:ilvl w:val="0"/>
          <w:numId w:val="2"/>
        </w:numPr>
        <w:spacing w:after="60"/>
      </w:pPr>
      <w:r>
        <w:rPr>
          <w:rFonts w:ascii="Arial" w:cs="Arial" w:eastAsia="Arial" w:hAnsi="Arial"/>
          <w:color w:val="333333"/>
          <w:sz w:val="20"/>
          <w:szCs w:val="20"/>
        </w:rPr>
        <w:t xml:space="preserve">Isolate affected systems from the network (do NOT power off)</w:t>
      </w:r>
    </w:p>
    <w:p>
      <w:pPr>
        <w:pStyle w:val="ListParagraph"/>
        <w:numPr>
          <w:ilvl w:val="0"/>
          <w:numId w:val="2"/>
        </w:numPr>
        <w:spacing w:after="60"/>
      </w:pPr>
      <w:r>
        <w:rPr>
          <w:rFonts w:ascii="Arial" w:cs="Arial" w:eastAsia="Arial" w:hAnsi="Arial"/>
          <w:color w:val="333333"/>
          <w:sz w:val="20"/>
          <w:szCs w:val="20"/>
        </w:rPr>
        <w:t xml:space="preserve">Disable compromised accounts and reset credentials</w:t>
      </w:r>
    </w:p>
    <w:p>
      <w:pPr>
        <w:pStyle w:val="ListParagraph"/>
        <w:numPr>
          <w:ilvl w:val="0"/>
          <w:numId w:val="2"/>
        </w:numPr>
        <w:spacing w:after="60"/>
      </w:pPr>
      <w:r>
        <w:rPr>
          <w:rFonts w:ascii="Arial" w:cs="Arial" w:eastAsia="Arial" w:hAnsi="Arial"/>
          <w:color w:val="333333"/>
          <w:sz w:val="20"/>
          <w:szCs w:val="20"/>
        </w:rPr>
        <w:t xml:space="preserve">Block malicious IP addresses, domains, and email addresses</w:t>
      </w:r>
    </w:p>
    <w:p>
      <w:pPr>
        <w:pStyle w:val="ListParagraph"/>
        <w:numPr>
          <w:ilvl w:val="0"/>
          <w:numId w:val="2"/>
        </w:numPr>
        <w:spacing w:after="60"/>
      </w:pPr>
      <w:r>
        <w:rPr>
          <w:rFonts w:ascii="Arial" w:cs="Arial" w:eastAsia="Arial" w:hAnsi="Arial"/>
          <w:color w:val="333333"/>
          <w:sz w:val="20"/>
          <w:szCs w:val="20"/>
        </w:rPr>
        <w:t xml:space="preserve">Redirect traffic or implement network segmentation as needed</w:t>
      </w:r>
    </w:p>
    <w:p>
      <w:pPr>
        <w:pStyle w:val="ListParagraph"/>
        <w:numPr>
          <w:ilvl w:val="0"/>
          <w:numId w:val="2"/>
        </w:numPr>
        <w:spacing w:after="60"/>
      </w:pPr>
      <w:r>
        <w:rPr>
          <w:rFonts w:ascii="Arial" w:cs="Arial" w:eastAsia="Arial" w:hAnsi="Arial"/>
          <w:color w:val="333333"/>
          <w:sz w:val="20"/>
          <w:szCs w:val="20"/>
        </w:rPr>
        <w:t xml:space="preserve">Preserve volatile evidence (memory dumps, active connections, running processes)</w:t>
      </w:r>
    </w:p>
    <w:p>
      <w:pPr>
        <w:spacing w:before="200" w:after="80"/>
      </w:pPr>
      <w:r>
        <w:rPr>
          <w:rFonts w:ascii="Arial" w:cs="Arial" w:eastAsia="Arial" w:hAnsi="Arial"/>
          <w:b/>
          <w:bCs/>
          <w:color w:val="1B3A5C"/>
          <w:sz w:val="22"/>
          <w:szCs w:val="22"/>
        </w:rPr>
        <w:t xml:space="preserve">Long-Term Containment</w:t>
      </w:r>
    </w:p>
    <w:p>
      <w:pPr>
        <w:pStyle w:val="ListParagraph"/>
        <w:numPr>
          <w:ilvl w:val="0"/>
          <w:numId w:val="2"/>
        </w:numPr>
        <w:spacing w:after="60"/>
      </w:pPr>
      <w:r>
        <w:rPr>
          <w:rFonts w:ascii="Arial" w:cs="Arial" w:eastAsia="Arial" w:hAnsi="Arial"/>
          <w:color w:val="333333"/>
          <w:sz w:val="20"/>
          <w:szCs w:val="20"/>
        </w:rPr>
        <w:t xml:space="preserve">Apply emergency patches to exploited vulnerabilities</w:t>
      </w:r>
    </w:p>
    <w:p>
      <w:pPr>
        <w:pStyle w:val="ListParagraph"/>
        <w:numPr>
          <w:ilvl w:val="0"/>
          <w:numId w:val="2"/>
        </w:numPr>
        <w:spacing w:after="60"/>
      </w:pPr>
      <w:r>
        <w:rPr>
          <w:rFonts w:ascii="Arial" w:cs="Arial" w:eastAsia="Arial" w:hAnsi="Arial"/>
          <w:color w:val="333333"/>
          <w:sz w:val="20"/>
          <w:szCs w:val="20"/>
        </w:rPr>
        <w:t xml:space="preserve">Implement temporary workarounds to maintain business operations</w:t>
      </w:r>
    </w:p>
    <w:p>
      <w:pPr>
        <w:pStyle w:val="ListParagraph"/>
        <w:numPr>
          <w:ilvl w:val="0"/>
          <w:numId w:val="2"/>
        </w:numPr>
        <w:spacing w:after="60"/>
      </w:pPr>
      <w:r>
        <w:rPr>
          <w:rFonts w:ascii="Arial" w:cs="Arial" w:eastAsia="Arial" w:hAnsi="Arial"/>
          <w:color w:val="333333"/>
          <w:sz w:val="20"/>
          <w:szCs w:val="20"/>
        </w:rPr>
        <w:t xml:space="preserve">Set up enhanced monitoring on all systems for signs of re-entry</w:t>
      </w:r>
    </w:p>
    <w:p>
      <w:pPr>
        <w:pStyle w:val="ListParagraph"/>
        <w:numPr>
          <w:ilvl w:val="0"/>
          <w:numId w:val="2"/>
        </w:numPr>
        <w:spacing w:after="60"/>
      </w:pPr>
      <w:r>
        <w:rPr>
          <w:rFonts w:ascii="Arial" w:cs="Arial" w:eastAsia="Arial" w:hAnsi="Arial"/>
          <w:color w:val="333333"/>
          <w:sz w:val="20"/>
          <w:szCs w:val="20"/>
        </w:rPr>
        <w:t xml:space="preserve">Coordinate with forensic investigators before making system changes</w:t>
      </w:r>
    </w:p>
    <w:p>
      <w:r>
        <w:br w:type="page"/>
      </w:r>
    </w:p>
    <w:p>
      <w:pPr>
        <w:pStyle w:val="Heading2"/>
        <w:spacing w:before="240" w:after="100"/>
      </w:pPr>
      <w:r>
        <w:rPr>
          <w:rFonts w:ascii="Arial" w:cs="Arial" w:eastAsia="Arial" w:hAnsi="Arial"/>
          <w:b/>
          <w:bCs/>
          <w:color w:val="2E75B6"/>
          <w:sz w:val="24"/>
          <w:szCs w:val="24"/>
        </w:rPr>
        <w:t xml:space="preserve">4.4 Phase 4: Eradication</w:t>
      </w:r>
    </w:p>
    <w:p>
      <w:pPr>
        <w:spacing w:after="120"/>
      </w:pPr>
      <w:r>
        <w:rPr>
          <w:rFonts w:ascii="Arial" w:cs="Arial" w:eastAsia="Arial" w:hAnsi="Arial"/>
          <w:color w:val="333333"/>
          <w:sz w:val="20"/>
          <w:szCs w:val="20"/>
        </w:rPr>
        <w:t xml:space="preserve">Once the incident is fully contained, remove all traces of the threat from the environment.</w:t>
      </w:r>
    </w:p>
    <w:p>
      <w:pPr>
        <w:pStyle w:val="ListParagraph"/>
        <w:numPr>
          <w:ilvl w:val="0"/>
          <w:numId w:val="4"/>
        </w:numPr>
        <w:spacing w:after="60"/>
      </w:pPr>
      <w:r>
        <w:rPr>
          <w:rFonts w:ascii="Arial" w:cs="Arial" w:eastAsia="Arial" w:hAnsi="Arial"/>
          <w:color w:val="333333"/>
          <w:sz w:val="20"/>
          <w:szCs w:val="20"/>
        </w:rPr>
        <w:t xml:space="preserve">Identify and remove all malware, backdoors, and unauthorized access points</w:t>
      </w:r>
    </w:p>
    <w:p>
      <w:pPr>
        <w:pStyle w:val="ListParagraph"/>
        <w:numPr>
          <w:ilvl w:val="0"/>
          <w:numId w:val="4"/>
        </w:numPr>
        <w:spacing w:after="60"/>
      </w:pPr>
      <w:r>
        <w:rPr>
          <w:rFonts w:ascii="Arial" w:cs="Arial" w:eastAsia="Arial" w:hAnsi="Arial"/>
          <w:color w:val="333333"/>
          <w:sz w:val="20"/>
          <w:szCs w:val="20"/>
        </w:rPr>
        <w:t xml:space="preserve">Rebuild or reimage compromised systems from clean media</w:t>
      </w:r>
    </w:p>
    <w:p>
      <w:pPr>
        <w:pStyle w:val="ListParagraph"/>
        <w:numPr>
          <w:ilvl w:val="0"/>
          <w:numId w:val="4"/>
        </w:numPr>
        <w:spacing w:after="60"/>
      </w:pPr>
      <w:r>
        <w:rPr>
          <w:rFonts w:ascii="Arial" w:cs="Arial" w:eastAsia="Arial" w:hAnsi="Arial"/>
          <w:color w:val="333333"/>
          <w:sz w:val="20"/>
          <w:szCs w:val="20"/>
        </w:rPr>
        <w:t xml:space="preserve">Reset all credentials, API keys, and access tokens associated with affected systems</w:t>
      </w:r>
    </w:p>
    <w:p>
      <w:pPr>
        <w:pStyle w:val="ListParagraph"/>
        <w:numPr>
          <w:ilvl w:val="0"/>
          <w:numId w:val="4"/>
        </w:numPr>
        <w:spacing w:after="60"/>
      </w:pPr>
      <w:r>
        <w:rPr>
          <w:rFonts w:ascii="Arial" w:cs="Arial" w:eastAsia="Arial" w:hAnsi="Arial"/>
          <w:color w:val="333333"/>
          <w:sz w:val="20"/>
          <w:szCs w:val="20"/>
        </w:rPr>
        <w:t xml:space="preserve">Verify that the attack vector has been fully remediated</w:t>
      </w:r>
    </w:p>
    <w:p>
      <w:pPr>
        <w:pStyle w:val="ListParagraph"/>
        <w:numPr>
          <w:ilvl w:val="0"/>
          <w:numId w:val="4"/>
        </w:numPr>
        <w:spacing w:after="60"/>
      </w:pPr>
      <w:r>
        <w:rPr>
          <w:rFonts w:ascii="Arial" w:cs="Arial" w:eastAsia="Arial" w:hAnsi="Arial"/>
          <w:color w:val="333333"/>
          <w:sz w:val="20"/>
          <w:szCs w:val="20"/>
        </w:rPr>
        <w:t xml:space="preserve">Conduct a thorough vulnerability scan of the environment</w:t>
      </w:r>
    </w:p>
    <w:p>
      <w:pPr>
        <w:pStyle w:val="ListParagraph"/>
        <w:numPr>
          <w:ilvl w:val="0"/>
          <w:numId w:val="4"/>
        </w:numPr>
        <w:spacing w:after="60"/>
      </w:pPr>
      <w:r>
        <w:rPr>
          <w:rFonts w:ascii="Arial" w:cs="Arial" w:eastAsia="Arial" w:hAnsi="Arial"/>
          <w:color w:val="333333"/>
          <w:sz w:val="20"/>
          <w:szCs w:val="20"/>
        </w:rPr>
        <w:t xml:space="preserve">Confirm with forensic investigators that eradication is complete</w:t>
      </w:r>
    </w:p>
    <w:p>
      <w:pPr>
        <w:pStyle w:val="Heading2"/>
        <w:spacing w:before="240" w:after="100"/>
      </w:pPr>
      <w:r>
        <w:rPr>
          <w:rFonts w:ascii="Arial" w:cs="Arial" w:eastAsia="Arial" w:hAnsi="Arial"/>
          <w:b/>
          <w:bCs/>
          <w:color w:val="2E75B6"/>
          <w:sz w:val="24"/>
          <w:szCs w:val="24"/>
        </w:rPr>
        <w:t xml:space="preserve">4.5 Phase 5: Recovery</w:t>
      </w:r>
    </w:p>
    <w:p>
      <w:pPr>
        <w:spacing w:after="120"/>
      </w:pPr>
      <w:r>
        <w:rPr>
          <w:rFonts w:ascii="Arial" w:cs="Arial" w:eastAsia="Arial" w:hAnsi="Arial"/>
          <w:color w:val="333333"/>
          <w:sz w:val="20"/>
          <w:szCs w:val="20"/>
        </w:rPr>
        <w:t xml:space="preserve">Restore systems and operations to normal while maintaining heightened monitoring.</w:t>
      </w:r>
    </w:p>
    <w:p>
      <w:pPr>
        <w:pStyle w:val="ListParagraph"/>
        <w:numPr>
          <w:ilvl w:val="0"/>
          <w:numId w:val="5"/>
        </w:numPr>
        <w:spacing w:after="60"/>
      </w:pPr>
      <w:r>
        <w:rPr>
          <w:rFonts w:ascii="Arial" w:cs="Arial" w:eastAsia="Arial" w:hAnsi="Arial"/>
          <w:color w:val="333333"/>
          <w:sz w:val="20"/>
          <w:szCs w:val="20"/>
        </w:rPr>
        <w:t xml:space="preserve">Restore systems from verified clean backups in priority order</w:t>
      </w:r>
    </w:p>
    <w:p>
      <w:pPr>
        <w:pStyle w:val="ListParagraph"/>
        <w:numPr>
          <w:ilvl w:val="0"/>
          <w:numId w:val="5"/>
        </w:numPr>
        <w:spacing w:after="60"/>
      </w:pPr>
      <w:r>
        <w:rPr>
          <w:rFonts w:ascii="Arial" w:cs="Arial" w:eastAsia="Arial" w:hAnsi="Arial"/>
          <w:color w:val="333333"/>
          <w:sz w:val="20"/>
          <w:szCs w:val="20"/>
        </w:rPr>
        <w:t xml:space="preserve">Validate data integrity and system functionality before returning to production</w:t>
      </w:r>
    </w:p>
    <w:p>
      <w:pPr>
        <w:pStyle w:val="ListParagraph"/>
        <w:numPr>
          <w:ilvl w:val="0"/>
          <w:numId w:val="5"/>
        </w:numPr>
        <w:spacing w:after="60"/>
      </w:pPr>
      <w:r>
        <w:rPr>
          <w:rFonts w:ascii="Arial" w:cs="Arial" w:eastAsia="Arial" w:hAnsi="Arial"/>
          <w:color w:val="333333"/>
          <w:sz w:val="20"/>
          <w:szCs w:val="20"/>
        </w:rPr>
        <w:t xml:space="preserve">Implement additional security controls identified during investigation</w:t>
      </w:r>
    </w:p>
    <w:p>
      <w:pPr>
        <w:pStyle w:val="ListParagraph"/>
        <w:numPr>
          <w:ilvl w:val="0"/>
          <w:numId w:val="5"/>
        </w:numPr>
        <w:spacing w:after="60"/>
      </w:pPr>
      <w:r>
        <w:rPr>
          <w:rFonts w:ascii="Arial" w:cs="Arial" w:eastAsia="Arial" w:hAnsi="Arial"/>
          <w:color w:val="333333"/>
          <w:sz w:val="20"/>
          <w:szCs w:val="20"/>
        </w:rPr>
        <w:t xml:space="preserve">Gradually restore network connectivity in phases</w:t>
      </w:r>
    </w:p>
    <w:p>
      <w:pPr>
        <w:pStyle w:val="ListParagraph"/>
        <w:numPr>
          <w:ilvl w:val="0"/>
          <w:numId w:val="5"/>
        </w:numPr>
        <w:spacing w:after="60"/>
      </w:pPr>
      <w:r>
        <w:rPr>
          <w:rFonts w:ascii="Arial" w:cs="Arial" w:eastAsia="Arial" w:hAnsi="Arial"/>
          <w:color w:val="333333"/>
          <w:sz w:val="20"/>
          <w:szCs w:val="20"/>
        </w:rPr>
        <w:t xml:space="preserve">Monitor restored systems intensively for a minimum of 30 days</w:t>
      </w:r>
    </w:p>
    <w:p>
      <w:pPr>
        <w:pStyle w:val="ListParagraph"/>
        <w:numPr>
          <w:ilvl w:val="0"/>
          <w:numId w:val="5"/>
        </w:numPr>
        <w:spacing w:after="60"/>
      </w:pPr>
      <w:r>
        <w:rPr>
          <w:rFonts w:ascii="Arial" w:cs="Arial" w:eastAsia="Arial" w:hAnsi="Arial"/>
          <w:color w:val="333333"/>
          <w:sz w:val="20"/>
          <w:szCs w:val="20"/>
        </w:rPr>
        <w:t xml:space="preserve">Confirm business operations are fully restored and document recovery time</w:t>
      </w:r>
    </w:p>
    <w:p>
      <w:pPr>
        <w:pStyle w:val="Heading2"/>
        <w:spacing w:before="240" w:after="100"/>
      </w:pPr>
      <w:r>
        <w:rPr>
          <w:rFonts w:ascii="Arial" w:cs="Arial" w:eastAsia="Arial" w:hAnsi="Arial"/>
          <w:b/>
          <w:bCs/>
          <w:color w:val="2E75B6"/>
          <w:sz w:val="24"/>
          <w:szCs w:val="24"/>
        </w:rPr>
        <w:t xml:space="preserve">4.6 Phase 6: Lessons Learned</w:t>
      </w:r>
    </w:p>
    <w:p>
      <w:pPr>
        <w:spacing w:after="120"/>
      </w:pPr>
      <w:r>
        <w:rPr>
          <w:rFonts w:ascii="Arial" w:cs="Arial" w:eastAsia="Arial" w:hAnsi="Arial"/>
          <w:color w:val="333333"/>
          <w:sz w:val="20"/>
          <w:szCs w:val="20"/>
        </w:rPr>
        <w:t xml:space="preserve">Conduct a post-incident review within 14 days of incident closure to improve future response.</w:t>
      </w:r>
    </w:p>
    <w:p>
      <w:pPr>
        <w:pStyle w:val="ListParagraph"/>
        <w:numPr>
          <w:ilvl w:val="0"/>
          <w:numId w:val="6"/>
        </w:numPr>
        <w:spacing w:after="60"/>
      </w:pPr>
      <w:r>
        <w:rPr>
          <w:rFonts w:ascii="Arial" w:cs="Arial" w:eastAsia="Arial" w:hAnsi="Arial"/>
          <w:color w:val="333333"/>
          <w:sz w:val="20"/>
          <w:szCs w:val="20"/>
        </w:rPr>
        <w:t xml:space="preserve">Schedule a formal lessons-learned meeting with all IRT members and key stakeholders</w:t>
      </w:r>
    </w:p>
    <w:p>
      <w:pPr>
        <w:pStyle w:val="ListParagraph"/>
        <w:numPr>
          <w:ilvl w:val="0"/>
          <w:numId w:val="6"/>
        </w:numPr>
        <w:spacing w:after="60"/>
      </w:pPr>
      <w:r>
        <w:rPr>
          <w:rFonts w:ascii="Arial" w:cs="Arial" w:eastAsia="Arial" w:hAnsi="Arial"/>
          <w:color w:val="333333"/>
          <w:sz w:val="20"/>
          <w:szCs w:val="20"/>
        </w:rPr>
        <w:t xml:space="preserve">Review the complete incident timeline and identify what worked and what did not</w:t>
      </w:r>
    </w:p>
    <w:p>
      <w:pPr>
        <w:pStyle w:val="ListParagraph"/>
        <w:numPr>
          <w:ilvl w:val="0"/>
          <w:numId w:val="6"/>
        </w:numPr>
        <w:spacing w:after="60"/>
      </w:pPr>
      <w:r>
        <w:rPr>
          <w:rFonts w:ascii="Arial" w:cs="Arial" w:eastAsia="Arial" w:hAnsi="Arial"/>
          <w:color w:val="333333"/>
          <w:sz w:val="20"/>
          <w:szCs w:val="20"/>
        </w:rPr>
        <w:t xml:space="preserve">Document root cause analysis and contributing factors</w:t>
      </w:r>
    </w:p>
    <w:p>
      <w:pPr>
        <w:pStyle w:val="ListParagraph"/>
        <w:numPr>
          <w:ilvl w:val="0"/>
          <w:numId w:val="6"/>
        </w:numPr>
        <w:spacing w:after="60"/>
      </w:pPr>
      <w:r>
        <w:rPr>
          <w:rFonts w:ascii="Arial" w:cs="Arial" w:eastAsia="Arial" w:hAnsi="Arial"/>
          <w:color w:val="333333"/>
          <w:sz w:val="20"/>
          <w:szCs w:val="20"/>
        </w:rPr>
        <w:t xml:space="preserve">Identify specific improvements to policies, procedures, and technical controls</w:t>
      </w:r>
    </w:p>
    <w:p>
      <w:pPr>
        <w:pStyle w:val="ListParagraph"/>
        <w:numPr>
          <w:ilvl w:val="0"/>
          <w:numId w:val="6"/>
        </w:numPr>
        <w:spacing w:after="60"/>
      </w:pPr>
      <w:r>
        <w:rPr>
          <w:rFonts w:ascii="Arial" w:cs="Arial" w:eastAsia="Arial" w:hAnsi="Arial"/>
          <w:color w:val="333333"/>
          <w:sz w:val="20"/>
          <w:szCs w:val="20"/>
        </w:rPr>
        <w:t xml:space="preserve">Update this Incident Response Plan based on findings</w:t>
      </w:r>
    </w:p>
    <w:p>
      <w:pPr>
        <w:pStyle w:val="ListParagraph"/>
        <w:numPr>
          <w:ilvl w:val="0"/>
          <w:numId w:val="6"/>
        </w:numPr>
        <w:spacing w:after="60"/>
      </w:pPr>
      <w:r>
        <w:rPr>
          <w:rFonts w:ascii="Arial" w:cs="Arial" w:eastAsia="Arial" w:hAnsi="Arial"/>
          <w:color w:val="333333"/>
          <w:sz w:val="20"/>
          <w:szCs w:val="20"/>
        </w:rPr>
        <w:t xml:space="preserve">Provide a summary report to executive leadership and the board (if applicable)</w:t>
      </w:r>
    </w:p>
    <w:p>
      <w:pPr>
        <w:pStyle w:val="ListParagraph"/>
        <w:numPr>
          <w:ilvl w:val="0"/>
          <w:numId w:val="6"/>
        </w:numPr>
        <w:spacing w:after="60"/>
      </w:pPr>
      <w:r>
        <w:rPr>
          <w:rFonts w:ascii="Arial" w:cs="Arial" w:eastAsia="Arial" w:hAnsi="Arial"/>
          <w:color w:val="333333"/>
          <w:sz w:val="20"/>
          <w:szCs w:val="20"/>
        </w:rPr>
        <w:t xml:space="preserve">Submit final documentation to cyber insurance carrier for claim purposes</w:t>
      </w:r>
    </w:p>
    <w:p>
      <w:r>
        <w:br w:type="page"/>
      </w:r>
    </w:p>
    <w:p>
      <w:pPr>
        <w:pStyle w:val="Heading1"/>
        <w:spacing w:before="360" w:after="120"/>
      </w:pPr>
      <w:r>
        <w:rPr>
          <w:rFonts w:ascii="Arial" w:cs="Arial" w:eastAsia="Arial" w:hAnsi="Arial"/>
          <w:b/>
          <w:bCs/>
          <w:color w:val="1B3A5C"/>
          <w:sz w:val="28"/>
          <w:szCs w:val="28"/>
        </w:rPr>
        <w:t xml:space="preserve">5. Communication Plan *</w:t>
      </w:r>
    </w:p>
    <w:p>
      <w:pPr>
        <w:pStyle w:val="Heading2"/>
        <w:spacing w:before="240" w:after="100"/>
      </w:pPr>
      <w:r>
        <w:rPr>
          <w:rFonts w:ascii="Arial" w:cs="Arial" w:eastAsia="Arial" w:hAnsi="Arial"/>
          <w:b/>
          <w:bCs/>
          <w:color w:val="2E75B6"/>
          <w:sz w:val="24"/>
          <w:szCs w:val="24"/>
        </w:rPr>
        <w:t xml:space="preserve">5.1 Internal Communications</w:t>
      </w:r>
    </w:p>
    <w:p>
      <w:pPr>
        <w:spacing w:after="120"/>
      </w:pPr>
      <w:r>
        <w:rPr>
          <w:rFonts w:ascii="Arial" w:cs="Arial" w:eastAsia="Arial" w:hAnsi="Arial"/>
          <w:color w:val="333333"/>
          <w:sz w:val="20"/>
          <w:szCs w:val="20"/>
        </w:rPr>
        <w:t xml:space="preserve">Effective internal communication ensures all stakeholders are informed and aligned during an incident.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2500"/>
        <w:gridCol w:w="2200"/>
        <w:gridCol w:w="2460"/>
      </w:tblGrid>
      <w:tr>
        <w:tc>
          <w:tcPr>
            <w:tcW w:type="dxa" w:w="22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Audience</w:t>
            </w:r>
          </w:p>
        </w:tc>
        <w:tc>
          <w:tcPr>
            <w:tcW w:type="dxa" w:w="25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Information Shared</w:t>
            </w:r>
          </w:p>
        </w:tc>
        <w:tc>
          <w:tcPr>
            <w:tcW w:type="dxa" w:w="22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Method</w:t>
            </w:r>
          </w:p>
        </w:tc>
        <w:tc>
          <w:tcPr>
            <w:tcW w:type="dxa" w:w="246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Timing / Frequency</w:t>
            </w:r>
          </w:p>
        </w:tc>
      </w:tr>
      <w:tr>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18"/>
                <w:szCs w:val="18"/>
              </w:rPr>
              <w:t xml:space="preserve">Executive Leadership</w:t>
            </w:r>
          </w:p>
        </w:tc>
        <w:tc>
          <w:tcPr>
            <w:tcW w:type="dxa" w:w="2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Scope, severity, business impact, key decisions</w:t>
            </w:r>
          </w:p>
        </w:tc>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Secure phone/in-person</w:t>
            </w:r>
          </w:p>
        </w:tc>
        <w:tc>
          <w:tcPr>
            <w:tcW w:type="dxa" w:w="24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Within 1 hour (Critical); every 4 hours until resolved</w:t>
            </w:r>
          </w:p>
        </w:tc>
      </w:tr>
      <w:tr>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18"/>
                <w:szCs w:val="18"/>
              </w:rPr>
              <w:t xml:space="preserve">Board of Directors</w:t>
            </w:r>
          </w:p>
        </w:tc>
        <w:tc>
          <w:tcPr>
            <w:tcW w:type="dxa" w:w="25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Summary of incident, risk exposure, response status</w:t>
            </w:r>
          </w:p>
        </w:tc>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Secure briefing</w:t>
            </w:r>
          </w:p>
        </w:tc>
        <w:tc>
          <w:tcPr>
            <w:tcW w:type="dxa" w:w="24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Within 24 hours (Critical/High)</w:t>
            </w:r>
          </w:p>
        </w:tc>
      </w:tr>
      <w:tr>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18"/>
                <w:szCs w:val="18"/>
              </w:rPr>
              <w:t xml:space="preserve">IT / Security Team</w:t>
            </w:r>
          </w:p>
        </w:tc>
        <w:tc>
          <w:tcPr>
            <w:tcW w:type="dxa" w:w="2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Technical details, containment actions, assignments</w:t>
            </w:r>
          </w:p>
        </w:tc>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Secure channel (not email if compromised)</w:t>
            </w:r>
          </w:p>
        </w:tc>
        <w:tc>
          <w:tcPr>
            <w:tcW w:type="dxa" w:w="24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Continuous during active response</w:t>
            </w:r>
          </w:p>
        </w:tc>
      </w:tr>
      <w:tr>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18"/>
                <w:szCs w:val="18"/>
              </w:rPr>
              <w:t xml:space="preserve">All Employees</w:t>
            </w:r>
          </w:p>
        </w:tc>
        <w:tc>
          <w:tcPr>
            <w:tcW w:type="dxa" w:w="25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General awareness, what to do/not do, reporting guidance</w:t>
            </w:r>
          </w:p>
        </w:tc>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Out-of-band communication</w:t>
            </w:r>
          </w:p>
        </w:tc>
        <w:tc>
          <w:tcPr>
            <w:tcW w:type="dxa" w:w="24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Within 24 hours; updates as needed</w:t>
            </w:r>
          </w:p>
        </w:tc>
      </w:tr>
      <w:tr>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18"/>
                <w:szCs w:val="18"/>
              </w:rPr>
              <w:t xml:space="preserve">HR Department</w:t>
            </w:r>
          </w:p>
        </w:tc>
        <w:tc>
          <w:tcPr>
            <w:tcW w:type="dxa" w:w="2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Insider threat details, personnel implications</w:t>
            </w:r>
          </w:p>
        </w:tc>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In-person/phone</w:t>
            </w:r>
          </w:p>
        </w:tc>
        <w:tc>
          <w:tcPr>
            <w:tcW w:type="dxa" w:w="24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As applicable</w:t>
            </w:r>
          </w:p>
        </w:tc>
      </w:tr>
    </w:tbl>
    <w:p>
      <w:pPr>
        <w:pStyle w:val="Heading2"/>
        <w:spacing w:before="240" w:after="100"/>
      </w:pPr>
      <w:r>
        <w:rPr>
          <w:rFonts w:ascii="Arial" w:cs="Arial" w:eastAsia="Arial" w:hAnsi="Arial"/>
          <w:b/>
          <w:bCs/>
          <w:color w:val="2E75B6"/>
          <w:sz w:val="24"/>
          <w:szCs w:val="24"/>
        </w:rPr>
        <w:t xml:space="preserve">5.2 External Communications</w:t>
      </w:r>
    </w:p>
    <w:p>
      <w:pPr>
        <w:spacing w:after="120"/>
      </w:pPr>
      <w:r>
        <w:rPr>
          <w:rFonts w:ascii="Arial" w:cs="Arial" w:eastAsia="Arial" w:hAnsi="Arial"/>
          <w:color w:val="333333"/>
          <w:sz w:val="20"/>
          <w:szCs w:val="20"/>
        </w:rPr>
        <w:t xml:space="preserve">External notifications must be coordinated with legal counsel and, where applicable, your cyber insurance carrier. Do not communicate about the incident on potentially compromised channels.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2700"/>
        <w:gridCol w:w="2200"/>
        <w:gridCol w:w="2260"/>
      </w:tblGrid>
      <w:tr>
        <w:tc>
          <w:tcPr>
            <w:tcW w:type="dxa" w:w="22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Audience</w:t>
            </w:r>
          </w:p>
        </w:tc>
        <w:tc>
          <w:tcPr>
            <w:tcW w:type="dxa" w:w="27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Notification Trigger</w:t>
            </w:r>
          </w:p>
        </w:tc>
        <w:tc>
          <w:tcPr>
            <w:tcW w:type="dxa" w:w="22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Lead</w:t>
            </w:r>
          </w:p>
        </w:tc>
        <w:tc>
          <w:tcPr>
            <w:tcW w:type="dxa" w:w="226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Regulatory Deadline</w:t>
            </w:r>
          </w:p>
        </w:tc>
      </w:tr>
      <w:tr>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18"/>
                <w:szCs w:val="18"/>
              </w:rPr>
              <w:t xml:space="preserve">Cyber Insurance Carrier</w:t>
            </w:r>
          </w:p>
        </w:tc>
        <w:tc>
          <w:tcPr>
            <w:tcW w:type="dxa" w:w="27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Any incident that may give rise to a claim</w:t>
            </w:r>
          </w:p>
        </w:tc>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IR Lead / Risk Mgr</w:t>
            </w:r>
          </w:p>
        </w:tc>
        <w:tc>
          <w:tcPr>
            <w:tcW w:type="dxa" w:w="22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Per policy (typically prompt/ASAP)</w:t>
            </w:r>
          </w:p>
        </w:tc>
      </w:tr>
      <w:tr>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18"/>
                <w:szCs w:val="18"/>
              </w:rPr>
              <w:t xml:space="preserve">Affected Individuals</w:t>
            </w:r>
          </w:p>
        </w:tc>
        <w:tc>
          <w:tcPr>
            <w:tcW w:type="dxa" w:w="27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Confirmed breach of personal data (PII/PHI)</w:t>
            </w:r>
          </w:p>
        </w:tc>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Legal Counsel</w:t>
            </w:r>
          </w:p>
        </w:tc>
        <w:tc>
          <w:tcPr>
            <w:tcW w:type="dxa" w:w="22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Per state law (30–90 days typical)</w:t>
            </w:r>
          </w:p>
        </w:tc>
      </w:tr>
      <w:tr>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18"/>
                <w:szCs w:val="18"/>
              </w:rPr>
              <w:t xml:space="preserve">State Attorney General</w:t>
            </w:r>
          </w:p>
        </w:tc>
        <w:tc>
          <w:tcPr>
            <w:tcW w:type="dxa" w:w="27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Breach affecting residents (per state threshold)</w:t>
            </w:r>
          </w:p>
        </w:tc>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Legal Counsel</w:t>
            </w:r>
          </w:p>
        </w:tc>
        <w:tc>
          <w:tcPr>
            <w:tcW w:type="dxa" w:w="22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Per state law</w:t>
            </w:r>
          </w:p>
        </w:tc>
      </w:tr>
      <w:tr>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18"/>
                <w:szCs w:val="18"/>
              </w:rPr>
              <w:t xml:space="preserve">Federal Regulators</w:t>
            </w:r>
          </w:p>
        </w:tc>
        <w:tc>
          <w:tcPr>
            <w:tcW w:type="dxa" w:w="27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HIPAA, SEC, GLBA, or other federal jurisdiction</w:t>
            </w:r>
          </w:p>
        </w:tc>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Legal Counsel</w:t>
            </w:r>
          </w:p>
        </w:tc>
        <w:tc>
          <w:tcPr>
            <w:tcW w:type="dxa" w:w="22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Per regulation (72 hrs for some)</w:t>
            </w:r>
          </w:p>
        </w:tc>
      </w:tr>
      <w:tr>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18"/>
                <w:szCs w:val="18"/>
              </w:rPr>
              <w:t xml:space="preserve">Law Enforcement</w:t>
            </w:r>
          </w:p>
        </w:tc>
        <w:tc>
          <w:tcPr>
            <w:tcW w:type="dxa" w:w="27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Criminal activity suspected or confirmed</w:t>
            </w:r>
          </w:p>
        </w:tc>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Legal Counsel</w:t>
            </w:r>
          </w:p>
        </w:tc>
        <w:tc>
          <w:tcPr>
            <w:tcW w:type="dxa" w:w="22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As soon as practical</w:t>
            </w:r>
          </w:p>
        </w:tc>
      </w:tr>
      <w:tr>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18"/>
                <w:szCs w:val="18"/>
              </w:rPr>
              <w:t xml:space="preserve">Customers / Clients</w:t>
            </w:r>
          </w:p>
        </w:tc>
        <w:tc>
          <w:tcPr>
            <w:tcW w:type="dxa" w:w="27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Breach affecting their data or services</w:t>
            </w:r>
          </w:p>
        </w:tc>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Comms Lead</w:t>
            </w:r>
          </w:p>
        </w:tc>
        <w:tc>
          <w:tcPr>
            <w:tcW w:type="dxa" w:w="22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Per contract and regulation</w:t>
            </w:r>
          </w:p>
        </w:tc>
      </w:tr>
      <w:tr>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18"/>
                <w:szCs w:val="18"/>
              </w:rPr>
              <w:t xml:space="preserve">Media / Public</w:t>
            </w:r>
          </w:p>
        </w:tc>
        <w:tc>
          <w:tcPr>
            <w:tcW w:type="dxa" w:w="27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Significant breach with public interest</w:t>
            </w:r>
          </w:p>
        </w:tc>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Comms Lead</w:t>
            </w:r>
          </w:p>
        </w:tc>
        <w:tc>
          <w:tcPr>
            <w:tcW w:type="dxa" w:w="22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Coordinated with legal</w:t>
            </w:r>
          </w:p>
        </w:tc>
      </w:tr>
    </w:tbl>
    <w:p>
      <w:r>
        <w:br w:type="page"/>
      </w:r>
    </w:p>
    <w:p>
      <w:pPr>
        <w:pStyle w:val="Heading1"/>
        <w:spacing w:before="360" w:after="120"/>
      </w:pPr>
      <w:r>
        <w:rPr>
          <w:rFonts w:ascii="Arial" w:cs="Arial" w:eastAsia="Arial" w:hAnsi="Arial"/>
          <w:b/>
          <w:bCs/>
          <w:color w:val="1B3A5C"/>
          <w:sz w:val="28"/>
          <w:szCs w:val="28"/>
        </w:rPr>
        <w:t xml:space="preserve">6. Cyber Insurance Coordination *</w:t>
      </w:r>
    </w:p>
    <w:p>
      <w:pPr>
        <w:spacing w:after="120"/>
      </w:pPr>
      <w:r>
        <w:rPr>
          <w:rFonts w:ascii="Arial" w:cs="Arial" w:eastAsia="Arial" w:hAnsi="Arial"/>
          <w:color w:val="333333"/>
          <w:sz w:val="20"/>
          <w:szCs w:val="20"/>
        </w:rPr>
        <w:t xml:space="preserve">Your cyber liability insurance policy is a critical resource during an incident. Early and proactive coordination with your carrier helps ensure coverage and access to approved response resources.</w:t>
      </w:r>
    </w:p>
    <w:p>
      <w:pPr>
        <w:pStyle w:val="Heading2"/>
        <w:spacing w:before="240" w:after="100"/>
      </w:pPr>
      <w:r>
        <w:rPr>
          <w:rFonts w:ascii="Arial" w:cs="Arial" w:eastAsia="Arial" w:hAnsi="Arial"/>
          <w:b/>
          <w:bCs/>
          <w:color w:val="2E75B6"/>
          <w:sz w:val="24"/>
          <w:szCs w:val="24"/>
        </w:rPr>
        <w:t xml:space="preserve">6.1 Policy Information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200"/>
        <w:gridCol w:w="6160"/>
      </w:tblGrid>
      <w:tr>
        <w:tc>
          <w:tcPr>
            <w:tcW w:type="dxa" w:w="3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Insurance Carrier:</w:t>
            </w:r>
          </w:p>
        </w:tc>
        <w:tc>
          <w:tcPr>
            <w:tcW w:type="dxa" w:w="61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jc w:val="left"/>
            </w:pPr>
            <w:r>
              <w:rPr>
                <w:rFonts w:ascii="Arial" w:cs="Arial" w:eastAsia="Arial" w:hAnsi="Arial"/>
                <w:b w:val="false"/>
                <w:bCs w:val="false"/>
                <w:color w:val="666666"/>
                <w:sz w:val="20"/>
                <w:szCs w:val="20"/>
              </w:rPr>
              <w:t xml:space="preserve"/>
            </w:r>
          </w:p>
        </w:tc>
      </w:tr>
      <w:tr>
        <w:tc>
          <w:tcPr>
            <w:tcW w:type="dxa" w:w="3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Policy Number:</w:t>
            </w:r>
          </w:p>
        </w:tc>
        <w:tc>
          <w:tcPr>
            <w:tcW w:type="dxa" w:w="6160"/>
            <w:tcBorders>
              <w:top w:val="single" w:color="CCCCCC" w:sz="1"/>
              <w:left w:val="single" w:color="CCCCCC" w:sz="1"/>
              <w:bottom w:val="single" w:color="CCCCCC" w:sz="1"/>
              <w:right w:val="single" w:color="CCCCCC" w:sz="1"/>
            </w:tcBorders>
            <w:tcMar>
              <w:top w:type="dxa" w:w="80"/>
              <w:left w:type="dxa" w:w="120"/>
              <w:bottom w:type="dxa" w:w="80"/>
              <w:right w:type="dxa" w:w="120"/>
            </w:tcMar>
          </w:tcPr>
          <w:p>
            <w:pPr>
              <w:jc w:val="left"/>
            </w:pPr>
            <w:r>
              <w:rPr>
                <w:rFonts w:ascii="Arial" w:cs="Arial" w:eastAsia="Arial" w:hAnsi="Arial"/>
                <w:b w:val="false"/>
                <w:bCs w:val="false"/>
                <w:color w:val="666666"/>
                <w:sz w:val="20"/>
                <w:szCs w:val="20"/>
              </w:rPr>
              <w:t xml:space="preserve"/>
            </w:r>
          </w:p>
        </w:tc>
      </w:tr>
      <w:tr>
        <w:tc>
          <w:tcPr>
            <w:tcW w:type="dxa" w:w="3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Policy Period:</w:t>
            </w:r>
          </w:p>
        </w:tc>
        <w:tc>
          <w:tcPr>
            <w:tcW w:type="dxa" w:w="61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jc w:val="left"/>
            </w:pPr>
            <w:r>
              <w:rPr>
                <w:rFonts w:ascii="Arial" w:cs="Arial" w:eastAsia="Arial" w:hAnsi="Arial"/>
                <w:b w:val="false"/>
                <w:bCs w:val="false"/>
                <w:color w:val="666666"/>
                <w:sz w:val="20"/>
                <w:szCs w:val="20"/>
              </w:rPr>
              <w:t xml:space="preserve"/>
            </w:r>
          </w:p>
        </w:tc>
      </w:tr>
      <w:tr>
        <w:tc>
          <w:tcPr>
            <w:tcW w:type="dxa" w:w="3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Coverage Limit:</w:t>
            </w:r>
          </w:p>
        </w:tc>
        <w:tc>
          <w:tcPr>
            <w:tcW w:type="dxa" w:w="6160"/>
            <w:tcBorders>
              <w:top w:val="single" w:color="CCCCCC" w:sz="1"/>
              <w:left w:val="single" w:color="CCCCCC" w:sz="1"/>
              <w:bottom w:val="single" w:color="CCCCCC" w:sz="1"/>
              <w:right w:val="single" w:color="CCCCCC" w:sz="1"/>
            </w:tcBorders>
            <w:tcMar>
              <w:top w:type="dxa" w:w="80"/>
              <w:left w:type="dxa" w:w="120"/>
              <w:bottom w:type="dxa" w:w="80"/>
              <w:right w:type="dxa" w:w="120"/>
            </w:tcMar>
          </w:tcPr>
          <w:p>
            <w:pPr>
              <w:jc w:val="left"/>
            </w:pPr>
            <w:r>
              <w:rPr>
                <w:rFonts w:ascii="Arial" w:cs="Arial" w:eastAsia="Arial" w:hAnsi="Arial"/>
                <w:b w:val="false"/>
                <w:bCs w:val="false"/>
                <w:color w:val="666666"/>
                <w:sz w:val="20"/>
                <w:szCs w:val="20"/>
              </w:rPr>
              <w:t xml:space="preserve"/>
            </w:r>
          </w:p>
        </w:tc>
      </w:tr>
      <w:tr>
        <w:tc>
          <w:tcPr>
            <w:tcW w:type="dxa" w:w="3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Deductible / Retention:</w:t>
            </w:r>
          </w:p>
        </w:tc>
        <w:tc>
          <w:tcPr>
            <w:tcW w:type="dxa" w:w="61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jc w:val="left"/>
            </w:pPr>
            <w:r>
              <w:rPr>
                <w:rFonts w:ascii="Arial" w:cs="Arial" w:eastAsia="Arial" w:hAnsi="Arial"/>
                <w:b w:val="false"/>
                <w:bCs w:val="false"/>
                <w:color w:val="666666"/>
                <w:sz w:val="20"/>
                <w:szCs w:val="20"/>
              </w:rPr>
              <w:t xml:space="preserve"/>
            </w:r>
          </w:p>
        </w:tc>
      </w:tr>
      <w:tr>
        <w:tc>
          <w:tcPr>
            <w:tcW w:type="dxa" w:w="3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Broker:</w:t>
            </w:r>
          </w:p>
        </w:tc>
        <w:tc>
          <w:tcPr>
            <w:tcW w:type="dxa" w:w="6160"/>
            <w:tcBorders>
              <w:top w:val="single" w:color="CCCCCC" w:sz="1"/>
              <w:left w:val="single" w:color="CCCCCC" w:sz="1"/>
              <w:bottom w:val="single" w:color="CCCCCC" w:sz="1"/>
              <w:right w:val="single" w:color="CCCCCC" w:sz="1"/>
            </w:tcBorders>
            <w:tcMar>
              <w:top w:type="dxa" w:w="80"/>
              <w:left w:type="dxa" w:w="120"/>
              <w:bottom w:type="dxa" w:w="80"/>
              <w:right w:type="dxa" w:w="120"/>
            </w:tcMar>
          </w:tcPr>
          <w:p>
            <w:pPr>
              <w:jc w:val="left"/>
            </w:pPr>
            <w:r>
              <w:rPr>
                <w:rFonts w:ascii="Arial" w:cs="Arial" w:eastAsia="Arial" w:hAnsi="Arial"/>
                <w:b w:val="false"/>
                <w:bCs w:val="false"/>
                <w:color w:val="666666"/>
                <w:sz w:val="20"/>
                <w:szCs w:val="20"/>
              </w:rPr>
              <w:t xml:space="preserve">First Underwriters Insurance Brokers  |  (425) 242-5357</w:t>
            </w:r>
          </w:p>
        </w:tc>
      </w:tr>
      <w:tr>
        <w:tc>
          <w:tcPr>
            <w:tcW w:type="dxa" w:w="3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Carrier Claims Hotline:</w:t>
            </w:r>
          </w:p>
        </w:tc>
        <w:tc>
          <w:tcPr>
            <w:tcW w:type="dxa" w:w="61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jc w:val="left"/>
            </w:pPr>
            <w:r>
              <w:rPr>
                <w:rFonts w:ascii="Arial" w:cs="Arial" w:eastAsia="Arial" w:hAnsi="Arial"/>
                <w:b w:val="false"/>
                <w:bCs w:val="false"/>
                <w:color w:val="666666"/>
                <w:sz w:val="20"/>
                <w:szCs w:val="20"/>
              </w:rPr>
              <w:t xml:space="preserve"/>
            </w:r>
          </w:p>
        </w:tc>
      </w:tr>
      <w:tr>
        <w:tc>
          <w:tcPr>
            <w:tcW w:type="dxa" w:w="3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Breach Coach / Panel Counsel:</w:t>
            </w:r>
          </w:p>
        </w:tc>
        <w:tc>
          <w:tcPr>
            <w:tcW w:type="dxa" w:w="6160"/>
            <w:tcBorders>
              <w:top w:val="single" w:color="CCCCCC" w:sz="1"/>
              <w:left w:val="single" w:color="CCCCCC" w:sz="1"/>
              <w:bottom w:val="single" w:color="CCCCCC" w:sz="1"/>
              <w:right w:val="single" w:color="CCCCCC" w:sz="1"/>
            </w:tcBorders>
            <w:tcMar>
              <w:top w:type="dxa" w:w="80"/>
              <w:left w:type="dxa" w:w="120"/>
              <w:bottom w:type="dxa" w:w="80"/>
              <w:right w:type="dxa" w:w="120"/>
            </w:tcMar>
          </w:tcPr>
          <w:p>
            <w:pPr>
              <w:jc w:val="left"/>
            </w:pPr>
            <w:r>
              <w:rPr>
                <w:rFonts w:ascii="Arial" w:cs="Arial" w:eastAsia="Arial" w:hAnsi="Arial"/>
                <w:b w:val="false"/>
                <w:bCs w:val="false"/>
                <w:color w:val="666666"/>
                <w:sz w:val="20"/>
                <w:szCs w:val="20"/>
              </w:rPr>
              <w:t xml:space="preserve"/>
            </w:r>
          </w:p>
        </w:tc>
      </w:tr>
    </w:tbl>
    <w:p>
      <w:pPr>
        <w:pStyle w:val="Heading2"/>
        <w:spacing w:before="240" w:after="100"/>
      </w:pPr>
      <w:r>
        <w:rPr>
          <w:rFonts w:ascii="Arial" w:cs="Arial" w:eastAsia="Arial" w:hAnsi="Arial"/>
          <w:b/>
          <w:bCs/>
          <w:color w:val="2E75B6"/>
          <w:sz w:val="24"/>
          <w:szCs w:val="24"/>
        </w:rPr>
        <w:t xml:space="preserve">6.2 Insurance Notification Checklist</w:t>
      </w:r>
    </w:p>
    <w:p>
      <w:pPr>
        <w:spacing w:after="120"/>
      </w:pPr>
      <w:r>
        <w:rPr>
          <w:rFonts w:ascii="Arial" w:cs="Arial" w:eastAsia="Arial" w:hAnsi="Arial"/>
          <w:color w:val="333333"/>
          <w:sz w:val="20"/>
          <w:szCs w:val="20"/>
        </w:rPr>
        <w:t xml:space="preserve">Complete the following steps to ensure proper notification and claims documentation: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6380"/>
        <w:gridCol w:w="2500"/>
      </w:tblGrid>
      <w:tr>
        <w:tc>
          <w:tcPr>
            <w:tcW w:type="dxa" w:w="48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
            </w:r>
          </w:p>
        </w:tc>
        <w:tc>
          <w:tcPr>
            <w:tcW w:type="dxa" w:w="638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Action</w:t>
            </w:r>
          </w:p>
        </w:tc>
        <w:tc>
          <w:tcPr>
            <w:tcW w:type="dxa" w:w="25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Status / Date</w:t>
            </w:r>
          </w:p>
        </w:tc>
      </w:tr>
      <w:tr>
        <w:tc>
          <w:tcPr>
            <w:tcW w:type="dxa" w:w="48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jc w:val="center"/>
            </w:pPr>
            <w:r>
              <w:rPr>
                <w:rFonts w:ascii="Segoe UI Symbol" w:cs="Segoe UI Symbol" w:eastAsia="Segoe UI Symbol" w:hAnsi="Segoe UI Symbol"/>
                <w:color w:val="666666"/>
                <w:sz w:val="22"/>
                <w:szCs w:val="22"/>
              </w:rPr>
              <w:t xml:space="preserve">☐</w:t>
            </w:r>
          </w:p>
        </w:tc>
        <w:tc>
          <w:tcPr>
            <w:tcW w:type="dxa" w:w="638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333333"/>
                <w:sz w:val="20"/>
                <w:szCs w:val="20"/>
              </w:rPr>
              <w:t xml:space="preserve">Notify insurance broker of the incident</w:t>
            </w:r>
          </w:p>
        </w:tc>
        <w:tc>
          <w:tcPr>
            <w:tcW w:type="dxa" w:w="2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666666"/>
                <w:sz w:val="18"/>
                <w:szCs w:val="18"/>
              </w:rPr>
              <w:t xml:space="preserve"/>
            </w:r>
          </w:p>
        </w:tc>
      </w:tr>
      <w:tr>
        <w:tc>
          <w:tcPr>
            <w:tcW w:type="dxa" w:w="480"/>
            <w:tcBorders>
              <w:top w:val="single" w:color="CCCCCC" w:sz="1"/>
              <w:left w:val="single" w:color="CCCCCC" w:sz="1"/>
              <w:bottom w:val="single" w:color="CCCCCC" w:sz="1"/>
              <w:right w:val="single" w:color="CCCCCC" w:sz="1"/>
            </w:tcBorders>
            <w:tcMar>
              <w:top w:type="dxa" w:w="80"/>
              <w:left w:type="dxa" w:w="120"/>
              <w:bottom w:type="dxa" w:w="80"/>
              <w:right w:type="dxa" w:w="120"/>
            </w:tcMar>
          </w:tcPr>
          <w:p>
            <w:pPr>
              <w:jc w:val="center"/>
            </w:pPr>
            <w:r>
              <w:rPr>
                <w:rFonts w:ascii="Segoe UI Symbol" w:cs="Segoe UI Symbol" w:eastAsia="Segoe UI Symbol" w:hAnsi="Segoe UI Symbol"/>
                <w:color w:val="666666"/>
                <w:sz w:val="22"/>
                <w:szCs w:val="22"/>
              </w:rPr>
              <w:t xml:space="preserve">☐</w:t>
            </w:r>
          </w:p>
        </w:tc>
        <w:tc>
          <w:tcPr>
            <w:tcW w:type="dxa" w:w="638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333333"/>
                <w:sz w:val="20"/>
                <w:szCs w:val="20"/>
              </w:rPr>
              <w:t xml:space="preserve">Notify insurance carrier claims hotline</w:t>
            </w:r>
          </w:p>
        </w:tc>
        <w:tc>
          <w:tcPr>
            <w:tcW w:type="dxa" w:w="25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666666"/>
                <w:sz w:val="18"/>
                <w:szCs w:val="18"/>
              </w:rPr>
              <w:t xml:space="preserve"/>
            </w:r>
          </w:p>
        </w:tc>
      </w:tr>
      <w:tr>
        <w:tc>
          <w:tcPr>
            <w:tcW w:type="dxa" w:w="48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jc w:val="center"/>
            </w:pPr>
            <w:r>
              <w:rPr>
                <w:rFonts w:ascii="Segoe UI Symbol" w:cs="Segoe UI Symbol" w:eastAsia="Segoe UI Symbol" w:hAnsi="Segoe UI Symbol"/>
                <w:color w:val="666666"/>
                <w:sz w:val="22"/>
                <w:szCs w:val="22"/>
              </w:rPr>
              <w:t xml:space="preserve">☐</w:t>
            </w:r>
          </w:p>
        </w:tc>
        <w:tc>
          <w:tcPr>
            <w:tcW w:type="dxa" w:w="638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333333"/>
                <w:sz w:val="20"/>
                <w:szCs w:val="20"/>
              </w:rPr>
              <w:t xml:space="preserve">Confirm approved vendor list with carrier before engaging forensics or legal</w:t>
            </w:r>
          </w:p>
        </w:tc>
        <w:tc>
          <w:tcPr>
            <w:tcW w:type="dxa" w:w="2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666666"/>
                <w:sz w:val="18"/>
                <w:szCs w:val="18"/>
              </w:rPr>
              <w:t xml:space="preserve"/>
            </w:r>
          </w:p>
        </w:tc>
      </w:tr>
      <w:tr>
        <w:tc>
          <w:tcPr>
            <w:tcW w:type="dxa" w:w="480"/>
            <w:tcBorders>
              <w:top w:val="single" w:color="CCCCCC" w:sz="1"/>
              <w:left w:val="single" w:color="CCCCCC" w:sz="1"/>
              <w:bottom w:val="single" w:color="CCCCCC" w:sz="1"/>
              <w:right w:val="single" w:color="CCCCCC" w:sz="1"/>
            </w:tcBorders>
            <w:tcMar>
              <w:top w:type="dxa" w:w="80"/>
              <w:left w:type="dxa" w:w="120"/>
              <w:bottom w:type="dxa" w:w="80"/>
              <w:right w:type="dxa" w:w="120"/>
            </w:tcMar>
          </w:tcPr>
          <w:p>
            <w:pPr>
              <w:jc w:val="center"/>
            </w:pPr>
            <w:r>
              <w:rPr>
                <w:rFonts w:ascii="Segoe UI Symbol" w:cs="Segoe UI Symbol" w:eastAsia="Segoe UI Symbol" w:hAnsi="Segoe UI Symbol"/>
                <w:color w:val="666666"/>
                <w:sz w:val="22"/>
                <w:szCs w:val="22"/>
              </w:rPr>
              <w:t xml:space="preserve">☐</w:t>
            </w:r>
          </w:p>
        </w:tc>
        <w:tc>
          <w:tcPr>
            <w:tcW w:type="dxa" w:w="638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333333"/>
                <w:sz w:val="20"/>
                <w:szCs w:val="20"/>
              </w:rPr>
              <w:t xml:space="preserve">Document all incident-related expenses from the start</w:t>
            </w:r>
          </w:p>
        </w:tc>
        <w:tc>
          <w:tcPr>
            <w:tcW w:type="dxa" w:w="25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666666"/>
                <w:sz w:val="18"/>
                <w:szCs w:val="18"/>
              </w:rPr>
              <w:t xml:space="preserve"/>
            </w:r>
          </w:p>
        </w:tc>
      </w:tr>
      <w:tr>
        <w:tc>
          <w:tcPr>
            <w:tcW w:type="dxa" w:w="48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jc w:val="center"/>
            </w:pPr>
            <w:r>
              <w:rPr>
                <w:rFonts w:ascii="Segoe UI Symbol" w:cs="Segoe UI Symbol" w:eastAsia="Segoe UI Symbol" w:hAnsi="Segoe UI Symbol"/>
                <w:color w:val="666666"/>
                <w:sz w:val="22"/>
                <w:szCs w:val="22"/>
              </w:rPr>
              <w:t xml:space="preserve">☐</w:t>
            </w:r>
          </w:p>
        </w:tc>
        <w:tc>
          <w:tcPr>
            <w:tcW w:type="dxa" w:w="638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333333"/>
                <w:sz w:val="20"/>
                <w:szCs w:val="20"/>
              </w:rPr>
              <w:t xml:space="preserve">Obtain carrier approval before making ransom payments (if applicable)</w:t>
            </w:r>
          </w:p>
        </w:tc>
        <w:tc>
          <w:tcPr>
            <w:tcW w:type="dxa" w:w="2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666666"/>
                <w:sz w:val="18"/>
                <w:szCs w:val="18"/>
              </w:rPr>
              <w:t xml:space="preserve"/>
            </w:r>
          </w:p>
        </w:tc>
      </w:tr>
      <w:tr>
        <w:tc>
          <w:tcPr>
            <w:tcW w:type="dxa" w:w="480"/>
            <w:tcBorders>
              <w:top w:val="single" w:color="CCCCCC" w:sz="1"/>
              <w:left w:val="single" w:color="CCCCCC" w:sz="1"/>
              <w:bottom w:val="single" w:color="CCCCCC" w:sz="1"/>
              <w:right w:val="single" w:color="CCCCCC" w:sz="1"/>
            </w:tcBorders>
            <w:tcMar>
              <w:top w:type="dxa" w:w="80"/>
              <w:left w:type="dxa" w:w="120"/>
              <w:bottom w:type="dxa" w:w="80"/>
              <w:right w:type="dxa" w:w="120"/>
            </w:tcMar>
          </w:tcPr>
          <w:p>
            <w:pPr>
              <w:jc w:val="center"/>
            </w:pPr>
            <w:r>
              <w:rPr>
                <w:rFonts w:ascii="Segoe UI Symbol" w:cs="Segoe UI Symbol" w:eastAsia="Segoe UI Symbol" w:hAnsi="Segoe UI Symbol"/>
                <w:color w:val="666666"/>
                <w:sz w:val="22"/>
                <w:szCs w:val="22"/>
              </w:rPr>
              <w:t xml:space="preserve">☐</w:t>
            </w:r>
          </w:p>
        </w:tc>
        <w:tc>
          <w:tcPr>
            <w:tcW w:type="dxa" w:w="638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333333"/>
                <w:sz w:val="20"/>
                <w:szCs w:val="20"/>
              </w:rPr>
              <w:t xml:space="preserve">Submit written notice of claim per policy requirements</w:t>
            </w:r>
          </w:p>
        </w:tc>
        <w:tc>
          <w:tcPr>
            <w:tcW w:type="dxa" w:w="25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666666"/>
                <w:sz w:val="18"/>
                <w:szCs w:val="18"/>
              </w:rPr>
              <w:t xml:space="preserve"/>
            </w:r>
          </w:p>
        </w:tc>
      </w:tr>
      <w:tr>
        <w:tc>
          <w:tcPr>
            <w:tcW w:type="dxa" w:w="48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jc w:val="center"/>
            </w:pPr>
            <w:r>
              <w:rPr>
                <w:rFonts w:ascii="Segoe UI Symbol" w:cs="Segoe UI Symbol" w:eastAsia="Segoe UI Symbol" w:hAnsi="Segoe UI Symbol"/>
                <w:color w:val="666666"/>
                <w:sz w:val="22"/>
                <w:szCs w:val="22"/>
              </w:rPr>
              <w:t xml:space="preserve">☐</w:t>
            </w:r>
          </w:p>
        </w:tc>
        <w:tc>
          <w:tcPr>
            <w:tcW w:type="dxa" w:w="638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333333"/>
                <w:sz w:val="20"/>
                <w:szCs w:val="20"/>
              </w:rPr>
              <w:t xml:space="preserve">Provide carrier with incident timeline and forensic findings</w:t>
            </w:r>
          </w:p>
        </w:tc>
        <w:tc>
          <w:tcPr>
            <w:tcW w:type="dxa" w:w="2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666666"/>
                <w:sz w:val="18"/>
                <w:szCs w:val="18"/>
              </w:rPr>
              <w:t xml:space="preserve"/>
            </w:r>
          </w:p>
        </w:tc>
      </w:tr>
      <w:tr>
        <w:tc>
          <w:tcPr>
            <w:tcW w:type="dxa" w:w="480"/>
            <w:tcBorders>
              <w:top w:val="single" w:color="CCCCCC" w:sz="1"/>
              <w:left w:val="single" w:color="CCCCCC" w:sz="1"/>
              <w:bottom w:val="single" w:color="CCCCCC" w:sz="1"/>
              <w:right w:val="single" w:color="CCCCCC" w:sz="1"/>
            </w:tcBorders>
            <w:tcMar>
              <w:top w:type="dxa" w:w="80"/>
              <w:left w:type="dxa" w:w="120"/>
              <w:bottom w:type="dxa" w:w="80"/>
              <w:right w:type="dxa" w:w="120"/>
            </w:tcMar>
          </w:tcPr>
          <w:p>
            <w:pPr>
              <w:jc w:val="center"/>
            </w:pPr>
            <w:r>
              <w:rPr>
                <w:rFonts w:ascii="Segoe UI Symbol" w:cs="Segoe UI Symbol" w:eastAsia="Segoe UI Symbol" w:hAnsi="Segoe UI Symbol"/>
                <w:color w:val="666666"/>
                <w:sz w:val="22"/>
                <w:szCs w:val="22"/>
              </w:rPr>
              <w:t xml:space="preserve">☐</w:t>
            </w:r>
          </w:p>
        </w:tc>
        <w:tc>
          <w:tcPr>
            <w:tcW w:type="dxa" w:w="638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333333"/>
                <w:sz w:val="20"/>
                <w:szCs w:val="20"/>
              </w:rPr>
              <w:t xml:space="preserve">Track and submit all costs for reimbursement (forensics, legal, notification, credit monitoring, business interruption)</w:t>
            </w:r>
          </w:p>
        </w:tc>
        <w:tc>
          <w:tcPr>
            <w:tcW w:type="dxa" w:w="25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666666"/>
                <w:sz w:val="18"/>
                <w:szCs w:val="18"/>
              </w:rPr>
              <w:t xml:space="preserve"/>
            </w:r>
          </w:p>
        </w:tc>
      </w:tr>
      <w:tr>
        <w:tc>
          <w:tcPr>
            <w:tcW w:type="dxa" w:w="48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jc w:val="center"/>
            </w:pPr>
            <w:r>
              <w:rPr>
                <w:rFonts w:ascii="Segoe UI Symbol" w:cs="Segoe UI Symbol" w:eastAsia="Segoe UI Symbol" w:hAnsi="Segoe UI Symbol"/>
                <w:color w:val="666666"/>
                <w:sz w:val="22"/>
                <w:szCs w:val="22"/>
              </w:rPr>
              <w:t xml:space="preserve">☐</w:t>
            </w:r>
          </w:p>
        </w:tc>
        <w:tc>
          <w:tcPr>
            <w:tcW w:type="dxa" w:w="638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333333"/>
                <w:sz w:val="20"/>
                <w:szCs w:val="20"/>
              </w:rPr>
              <w:t xml:space="preserve">Cooperate with carrier’s investigation and provide requested documentation</w:t>
            </w:r>
          </w:p>
        </w:tc>
        <w:tc>
          <w:tcPr>
            <w:tcW w:type="dxa" w:w="2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666666"/>
                <w:sz w:val="18"/>
                <w:szCs w:val="18"/>
              </w:rPr>
              <w:t xml:space="preserve"/>
            </w:r>
          </w:p>
        </w:tc>
      </w:tr>
      <w:tr>
        <w:tc>
          <w:tcPr>
            <w:tcW w:type="dxa" w:w="480"/>
            <w:tcBorders>
              <w:top w:val="single" w:color="CCCCCC" w:sz="1"/>
              <w:left w:val="single" w:color="CCCCCC" w:sz="1"/>
              <w:bottom w:val="single" w:color="CCCCCC" w:sz="1"/>
              <w:right w:val="single" w:color="CCCCCC" w:sz="1"/>
            </w:tcBorders>
            <w:tcMar>
              <w:top w:type="dxa" w:w="80"/>
              <w:left w:type="dxa" w:w="120"/>
              <w:bottom w:type="dxa" w:w="80"/>
              <w:right w:type="dxa" w:w="120"/>
            </w:tcMar>
          </w:tcPr>
          <w:p>
            <w:pPr>
              <w:jc w:val="center"/>
            </w:pPr>
            <w:r>
              <w:rPr>
                <w:rFonts w:ascii="Segoe UI Symbol" w:cs="Segoe UI Symbol" w:eastAsia="Segoe UI Symbol" w:hAnsi="Segoe UI Symbol"/>
                <w:color w:val="666666"/>
                <w:sz w:val="22"/>
                <w:szCs w:val="22"/>
              </w:rPr>
              <w:t xml:space="preserve">☐</w:t>
            </w:r>
          </w:p>
        </w:tc>
        <w:tc>
          <w:tcPr>
            <w:tcW w:type="dxa" w:w="638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333333"/>
                <w:sz w:val="20"/>
                <w:szCs w:val="20"/>
              </w:rPr>
              <w:t xml:space="preserve">Retain all records for a minimum of 6 years per policy requirements</w:t>
            </w:r>
          </w:p>
        </w:tc>
        <w:tc>
          <w:tcPr>
            <w:tcW w:type="dxa" w:w="25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666666"/>
                <w:sz w:val="18"/>
                <w:szCs w:val="18"/>
              </w:rPr>
              <w:t xml:space="preserve"/>
            </w:r>
          </w:p>
        </w:tc>
      </w:tr>
    </w:tbl>
    <w:p>
      <w:r>
        <w:br w:type="page"/>
      </w:r>
    </w:p>
    <w:p>
      <w:pPr>
        <w:pStyle w:val="Heading1"/>
        <w:spacing w:before="360" w:after="120"/>
      </w:pPr>
      <w:r>
        <w:rPr>
          <w:rFonts w:ascii="Arial" w:cs="Arial" w:eastAsia="Arial" w:hAnsi="Arial"/>
          <w:b/>
          <w:bCs/>
          <w:color w:val="1B3A5C"/>
          <w:sz w:val="28"/>
          <w:szCs w:val="28"/>
        </w:rPr>
        <w:t xml:space="preserve">7. Legal and Regulatory Requirements</w:t>
      </w:r>
    </w:p>
    <w:p>
      <w:pPr>
        <w:pStyle w:val="Heading2"/>
        <w:spacing w:before="240" w:after="100"/>
      </w:pPr>
      <w:r>
        <w:rPr>
          <w:rFonts w:ascii="Arial" w:cs="Arial" w:eastAsia="Arial" w:hAnsi="Arial"/>
          <w:b/>
          <w:bCs/>
          <w:color w:val="2E75B6"/>
          <w:sz w:val="24"/>
          <w:szCs w:val="24"/>
        </w:rPr>
        <w:t xml:space="preserve">7.1 Data Breach Notification Laws</w:t>
      </w:r>
    </w:p>
    <w:p>
      <w:pPr>
        <w:spacing w:after="120"/>
      </w:pPr>
      <w:r>
        <w:rPr>
          <w:rFonts w:ascii="Arial" w:cs="Arial" w:eastAsia="Arial" w:hAnsi="Arial"/>
          <w:color w:val="333333"/>
          <w:sz w:val="20"/>
          <w:szCs w:val="20"/>
        </w:rPr>
        <w:t xml:space="preserve">All 50 U.S. states have data breach notification laws. Notification requirements vary by state and depend on the type of data compromised, the number of individuals affected, and other factors. Consult with legal counsel to determine specific obligations.</w:t>
      </w:r>
    </w:p>
    <w:p>
      <w:pPr>
        <w:spacing w:after="120"/>
      </w:pPr>
      <w:r>
        <w:rPr>
          <w:rFonts w:ascii="Arial" w:cs="Arial" w:eastAsia="Arial" w:hAnsi="Arial"/>
          <w:color w:val="333333"/>
          <w:sz w:val="20"/>
          <w:szCs w:val="20"/>
        </w:rPr>
        <w:t xml:space="preserve">Key considerations include:</w:t>
      </w:r>
    </w:p>
    <w:p>
      <w:pPr>
        <w:pStyle w:val="ListParagraph"/>
        <w:numPr>
          <w:ilvl w:val="0"/>
          <w:numId w:val="2"/>
        </w:numPr>
        <w:spacing w:after="60"/>
      </w:pPr>
      <w:r>
        <w:rPr>
          <w:rFonts w:ascii="Arial" w:cs="Arial" w:eastAsia="Arial" w:hAnsi="Arial"/>
          <w:b/>
          <w:bCs/>
          <w:color w:val="333333"/>
          <w:sz w:val="20"/>
          <w:szCs w:val="20"/>
        </w:rPr>
        <w:t xml:space="preserve">Trigger: </w:t>
      </w:r>
      <w:r>
        <w:rPr>
          <w:rFonts w:ascii="Arial" w:cs="Arial" w:eastAsia="Arial" w:hAnsi="Arial"/>
          <w:color w:val="333333"/>
          <w:sz w:val="20"/>
          <w:szCs w:val="20"/>
        </w:rPr>
        <w:t xml:space="preserve">What types of data, if breached, require notification (typically SSN, financial account numbers, health information, login credentials).</w:t>
      </w:r>
    </w:p>
    <w:p>
      <w:pPr>
        <w:pStyle w:val="ListParagraph"/>
        <w:numPr>
          <w:ilvl w:val="0"/>
          <w:numId w:val="2"/>
        </w:numPr>
        <w:spacing w:after="60"/>
      </w:pPr>
      <w:r>
        <w:rPr>
          <w:rFonts w:ascii="Arial" w:cs="Arial" w:eastAsia="Arial" w:hAnsi="Arial"/>
          <w:b/>
          <w:bCs/>
          <w:color w:val="333333"/>
          <w:sz w:val="20"/>
          <w:szCs w:val="20"/>
        </w:rPr>
        <w:t xml:space="preserve">Timeline: </w:t>
      </w:r>
      <w:r>
        <w:rPr>
          <w:rFonts w:ascii="Arial" w:cs="Arial" w:eastAsia="Arial" w:hAnsi="Arial"/>
          <w:color w:val="333333"/>
          <w:sz w:val="20"/>
          <w:szCs w:val="20"/>
        </w:rPr>
        <w:t xml:space="preserve">Required notification timeframe after discovery (ranges from 30 to 90 days depending on state; some states require notification “without unreasonable delay”).</w:t>
      </w:r>
    </w:p>
    <w:p>
      <w:pPr>
        <w:pStyle w:val="ListParagraph"/>
        <w:numPr>
          <w:ilvl w:val="0"/>
          <w:numId w:val="2"/>
        </w:numPr>
        <w:spacing w:after="60"/>
      </w:pPr>
      <w:r>
        <w:rPr>
          <w:rFonts w:ascii="Arial" w:cs="Arial" w:eastAsia="Arial" w:hAnsi="Arial"/>
          <w:b/>
          <w:bCs/>
          <w:color w:val="333333"/>
          <w:sz w:val="20"/>
          <w:szCs w:val="20"/>
        </w:rPr>
        <w:t xml:space="preserve">Method: </w:t>
      </w:r>
      <w:r>
        <w:rPr>
          <w:rFonts w:ascii="Arial" w:cs="Arial" w:eastAsia="Arial" w:hAnsi="Arial"/>
          <w:color w:val="333333"/>
          <w:sz w:val="20"/>
          <w:szCs w:val="20"/>
        </w:rPr>
        <w:t xml:space="preserve">Required form of notification (written notice, email, substitute notice for large-scale breaches).</w:t>
      </w:r>
    </w:p>
    <w:p>
      <w:pPr>
        <w:pStyle w:val="ListParagraph"/>
        <w:numPr>
          <w:ilvl w:val="0"/>
          <w:numId w:val="2"/>
        </w:numPr>
        <w:spacing w:after="60"/>
      </w:pPr>
      <w:r>
        <w:rPr>
          <w:rFonts w:ascii="Arial" w:cs="Arial" w:eastAsia="Arial" w:hAnsi="Arial"/>
          <w:b/>
          <w:bCs/>
          <w:color w:val="333333"/>
          <w:sz w:val="20"/>
          <w:szCs w:val="20"/>
        </w:rPr>
        <w:t xml:space="preserve">Recipients: </w:t>
      </w:r>
      <w:r>
        <w:rPr>
          <w:rFonts w:ascii="Arial" w:cs="Arial" w:eastAsia="Arial" w:hAnsi="Arial"/>
          <w:color w:val="333333"/>
          <w:sz w:val="20"/>
          <w:szCs w:val="20"/>
        </w:rPr>
        <w:t xml:space="preserve">Who must be notified (affected individuals, state attorney general, credit bureaus for large breaches).</w:t>
      </w:r>
    </w:p>
    <w:p>
      <w:pPr>
        <w:pStyle w:val="ListParagraph"/>
        <w:numPr>
          <w:ilvl w:val="0"/>
          <w:numId w:val="2"/>
        </w:numPr>
        <w:spacing w:after="60"/>
      </w:pPr>
      <w:r>
        <w:rPr>
          <w:rFonts w:ascii="Arial" w:cs="Arial" w:eastAsia="Arial" w:hAnsi="Arial"/>
          <w:b/>
          <w:bCs/>
          <w:color w:val="333333"/>
          <w:sz w:val="20"/>
          <w:szCs w:val="20"/>
        </w:rPr>
        <w:t xml:space="preserve">Content: </w:t>
      </w:r>
      <w:r>
        <w:rPr>
          <w:rFonts w:ascii="Arial" w:cs="Arial" w:eastAsia="Arial" w:hAnsi="Arial"/>
          <w:color w:val="333333"/>
          <w:sz w:val="20"/>
          <w:szCs w:val="20"/>
        </w:rPr>
        <w:t xml:space="preserve">Required elements in notification letters (description of breach, types of data, steps taken, resources offered).</w:t>
      </w:r>
    </w:p>
    <w:p>
      <w:pPr>
        <w:pStyle w:val="Heading2"/>
        <w:spacing w:before="240" w:after="100"/>
      </w:pPr>
      <w:r>
        <w:rPr>
          <w:rFonts w:ascii="Arial" w:cs="Arial" w:eastAsia="Arial" w:hAnsi="Arial"/>
          <w:b/>
          <w:bCs/>
          <w:color w:val="2E75B6"/>
          <w:sz w:val="24"/>
          <w:szCs w:val="24"/>
        </w:rPr>
        <w:t xml:space="preserve">7.2 Industry-Specific Regulations</w:t>
      </w:r>
    </w:p>
    <w:p>
      <w:pPr>
        <w:spacing w:after="120"/>
      </w:pPr>
      <w:r>
        <w:rPr>
          <w:rFonts w:ascii="Arial" w:cs="Arial" w:eastAsia="Arial" w:hAnsi="Arial"/>
          <w:color w:val="333333"/>
          <w:sz w:val="20"/>
          <w:szCs w:val="20"/>
        </w:rPr>
        <w:t xml:space="preserve">Depending on your industry, additional regulations may apply:</w:t>
      </w:r>
    </w:p>
    <w:p>
      <w:pPr>
        <w:pStyle w:val="ListParagraph"/>
        <w:numPr>
          <w:ilvl w:val="0"/>
          <w:numId w:val="2"/>
        </w:numPr>
        <w:spacing w:after="60"/>
      </w:pPr>
      <w:r>
        <w:rPr>
          <w:rFonts w:ascii="Arial" w:cs="Arial" w:eastAsia="Arial" w:hAnsi="Arial"/>
          <w:b/>
          <w:bCs/>
          <w:color w:val="333333"/>
          <w:sz w:val="20"/>
          <w:szCs w:val="20"/>
        </w:rPr>
        <w:t xml:space="preserve">Healthcare (HIPAA): </w:t>
      </w:r>
      <w:r>
        <w:rPr>
          <w:rFonts w:ascii="Arial" w:cs="Arial" w:eastAsia="Arial" w:hAnsi="Arial"/>
          <w:color w:val="333333"/>
          <w:sz w:val="20"/>
          <w:szCs w:val="20"/>
        </w:rPr>
        <w:t xml:space="preserve">Breach of protected health information (PHI) requires notification to individuals, HHS, and potentially media within 60 days.</w:t>
      </w:r>
    </w:p>
    <w:p>
      <w:pPr>
        <w:pStyle w:val="ListParagraph"/>
        <w:numPr>
          <w:ilvl w:val="0"/>
          <w:numId w:val="2"/>
        </w:numPr>
        <w:spacing w:after="60"/>
      </w:pPr>
      <w:r>
        <w:rPr>
          <w:rFonts w:ascii="Arial" w:cs="Arial" w:eastAsia="Arial" w:hAnsi="Arial"/>
          <w:b/>
          <w:bCs/>
          <w:color w:val="333333"/>
          <w:sz w:val="20"/>
          <w:szCs w:val="20"/>
        </w:rPr>
        <w:t xml:space="preserve">Financial Services (GLBA/SOX): </w:t>
      </w:r>
      <w:r>
        <w:rPr>
          <w:rFonts w:ascii="Arial" w:cs="Arial" w:eastAsia="Arial" w:hAnsi="Arial"/>
          <w:color w:val="333333"/>
          <w:sz w:val="20"/>
          <w:szCs w:val="20"/>
        </w:rPr>
        <w:t xml:space="preserve">Financial institutions must notify regulators and customers of unauthorized access to financial information.</w:t>
      </w:r>
    </w:p>
    <w:p>
      <w:pPr>
        <w:pStyle w:val="ListParagraph"/>
        <w:numPr>
          <w:ilvl w:val="0"/>
          <w:numId w:val="2"/>
        </w:numPr>
        <w:spacing w:after="60"/>
      </w:pPr>
      <w:r>
        <w:rPr>
          <w:rFonts w:ascii="Arial" w:cs="Arial" w:eastAsia="Arial" w:hAnsi="Arial"/>
          <w:b/>
          <w:bCs/>
          <w:color w:val="333333"/>
          <w:sz w:val="20"/>
          <w:szCs w:val="20"/>
        </w:rPr>
        <w:t xml:space="preserve">Payment Card Industry (PCI DSS): </w:t>
      </w:r>
      <w:r>
        <w:rPr>
          <w:rFonts w:ascii="Arial" w:cs="Arial" w:eastAsia="Arial" w:hAnsi="Arial"/>
          <w:color w:val="333333"/>
          <w:sz w:val="20"/>
          <w:szCs w:val="20"/>
        </w:rPr>
        <w:t xml:space="preserve">Merchants and service providers must report card data breaches to acquiring banks and card brands.</w:t>
      </w:r>
    </w:p>
    <w:p>
      <w:pPr>
        <w:pStyle w:val="ListParagraph"/>
        <w:numPr>
          <w:ilvl w:val="0"/>
          <w:numId w:val="2"/>
        </w:numPr>
        <w:spacing w:after="60"/>
      </w:pPr>
      <w:r>
        <w:rPr>
          <w:rFonts w:ascii="Arial" w:cs="Arial" w:eastAsia="Arial" w:hAnsi="Arial"/>
          <w:b/>
          <w:bCs/>
          <w:color w:val="333333"/>
          <w:sz w:val="20"/>
          <w:szCs w:val="20"/>
        </w:rPr>
        <w:t xml:space="preserve">Government Contractors: </w:t>
      </w:r>
      <w:r>
        <w:rPr>
          <w:rFonts w:ascii="Arial" w:cs="Arial" w:eastAsia="Arial" w:hAnsi="Arial"/>
          <w:color w:val="333333"/>
          <w:sz w:val="20"/>
          <w:szCs w:val="20"/>
        </w:rPr>
        <w:t xml:space="preserve">DFARS and CMMC requirements mandate reporting of cyber incidents to DoD within 72 hours.</w:t>
      </w:r>
    </w:p>
    <w:p>
      <w:pPr>
        <w:pStyle w:val="Heading2"/>
        <w:spacing w:before="240" w:after="100"/>
      </w:pPr>
      <w:r>
        <w:rPr>
          <w:rFonts w:ascii="Arial" w:cs="Arial" w:eastAsia="Arial" w:hAnsi="Arial"/>
          <w:b/>
          <w:bCs/>
          <w:color w:val="2E75B6"/>
          <w:sz w:val="24"/>
          <w:szCs w:val="24"/>
        </w:rPr>
        <w:t xml:space="preserve">7.3 Regulatory Contact Information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000"/>
        <w:gridCol w:w="3000"/>
        <w:gridCol w:w="3360"/>
      </w:tblGrid>
      <w:tr>
        <w:tc>
          <w:tcPr>
            <w:tcW w:type="dxa" w:w="30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Regulatory Body</w:t>
            </w:r>
          </w:p>
        </w:tc>
        <w:tc>
          <w:tcPr>
            <w:tcW w:type="dxa" w:w="30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Applicable Regulation</w:t>
            </w:r>
          </w:p>
        </w:tc>
        <w:tc>
          <w:tcPr>
            <w:tcW w:type="dxa" w:w="336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Contact / Filing Method</w:t>
            </w:r>
          </w:p>
        </w:tc>
      </w:tr>
      <w:tr>
        <w:tc>
          <w:tcPr>
            <w:tcW w:type="dxa" w:w="30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666666"/>
                <w:sz w:val="18"/>
                <w:szCs w:val="18"/>
              </w:rPr>
              <w:t xml:space="preserve">State Attorney General</w:t>
            </w:r>
          </w:p>
        </w:tc>
        <w:tc>
          <w:tcPr>
            <w:tcW w:type="dxa" w:w="30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666666"/>
                <w:sz w:val="18"/>
                <w:szCs w:val="18"/>
              </w:rPr>
              <w:t xml:space="preserve"/>
            </w:r>
          </w:p>
        </w:tc>
        <w:tc>
          <w:tcPr>
            <w:tcW w:type="dxa" w:w="33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666666"/>
                <w:sz w:val="18"/>
                <w:szCs w:val="18"/>
              </w:rPr>
              <w:t xml:space="preserve"/>
            </w:r>
          </w:p>
        </w:tc>
      </w:tr>
      <w:tr>
        <w:tc>
          <w:tcPr>
            <w:tcW w:type="dxa" w:w="30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666666"/>
                <w:sz w:val="18"/>
                <w:szCs w:val="18"/>
              </w:rPr>
              <w:t xml:space="preserve">HHS Office for Civil Rights</w:t>
            </w:r>
          </w:p>
        </w:tc>
        <w:tc>
          <w:tcPr>
            <w:tcW w:type="dxa" w:w="30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666666"/>
                <w:sz w:val="18"/>
                <w:szCs w:val="18"/>
              </w:rPr>
              <w:t xml:space="preserve">HIPAA</w:t>
            </w:r>
          </w:p>
        </w:tc>
        <w:tc>
          <w:tcPr>
            <w:tcW w:type="dxa" w:w="33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666666"/>
                <w:sz w:val="18"/>
                <w:szCs w:val="18"/>
              </w:rPr>
              <w:t xml:space="preserve"/>
            </w:r>
          </w:p>
        </w:tc>
      </w:tr>
      <w:tr>
        <w:tc>
          <w:tcPr>
            <w:tcW w:type="dxa" w:w="30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666666"/>
                <w:sz w:val="18"/>
                <w:szCs w:val="18"/>
              </w:rPr>
              <w:t xml:space="preserve">FTC</w:t>
            </w:r>
          </w:p>
        </w:tc>
        <w:tc>
          <w:tcPr>
            <w:tcW w:type="dxa" w:w="30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666666"/>
                <w:sz w:val="18"/>
                <w:szCs w:val="18"/>
              </w:rPr>
              <w:t xml:space="preserve">GLBA / FTC Act</w:t>
            </w:r>
          </w:p>
        </w:tc>
        <w:tc>
          <w:tcPr>
            <w:tcW w:type="dxa" w:w="33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666666"/>
                <w:sz w:val="18"/>
                <w:szCs w:val="18"/>
              </w:rPr>
              <w:t xml:space="preserve"/>
            </w:r>
          </w:p>
        </w:tc>
      </w:tr>
      <w:tr>
        <w:tc>
          <w:tcPr>
            <w:tcW w:type="dxa" w:w="30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666666"/>
                <w:sz w:val="18"/>
                <w:szCs w:val="18"/>
              </w:rPr>
              <w:t xml:space="preserve">SEC</w:t>
            </w:r>
          </w:p>
        </w:tc>
        <w:tc>
          <w:tcPr>
            <w:tcW w:type="dxa" w:w="30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666666"/>
                <w:sz w:val="18"/>
                <w:szCs w:val="18"/>
              </w:rPr>
              <w:t xml:space="preserve">SEC Cybersecurity Rules</w:t>
            </w:r>
          </w:p>
        </w:tc>
        <w:tc>
          <w:tcPr>
            <w:tcW w:type="dxa" w:w="33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666666"/>
                <w:sz w:val="18"/>
                <w:szCs w:val="18"/>
              </w:rPr>
              <w:t xml:space="preserve"/>
            </w:r>
          </w:p>
        </w:tc>
      </w:tr>
      <w:tr>
        <w:tc>
          <w:tcPr>
            <w:tcW w:type="dxa" w:w="30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666666"/>
                <w:sz w:val="18"/>
                <w:szCs w:val="18"/>
              </w:rPr>
              <w:t xml:space="preserve">FBI / IC3</w:t>
            </w:r>
          </w:p>
        </w:tc>
        <w:tc>
          <w:tcPr>
            <w:tcW w:type="dxa" w:w="30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666666"/>
                <w:sz w:val="18"/>
                <w:szCs w:val="18"/>
              </w:rPr>
              <w:t xml:space="preserve">Criminal Investigation</w:t>
            </w:r>
          </w:p>
        </w:tc>
        <w:tc>
          <w:tcPr>
            <w:tcW w:type="dxa" w:w="33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color w:val="666666"/>
                <w:sz w:val="18"/>
                <w:szCs w:val="18"/>
              </w:rPr>
              <w:t xml:space="preserve">ic3.gov</w:t>
            </w:r>
          </w:p>
        </w:tc>
      </w:tr>
      <w:tr>
        <w:tc>
          <w:tcPr>
            <w:tcW w:type="dxa" w:w="30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666666"/>
                <w:sz w:val="18"/>
                <w:szCs w:val="18"/>
              </w:rPr>
              <w:t xml:space="preserve"/>
            </w:r>
          </w:p>
        </w:tc>
        <w:tc>
          <w:tcPr>
            <w:tcW w:type="dxa" w:w="30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666666"/>
                <w:sz w:val="18"/>
                <w:szCs w:val="18"/>
              </w:rPr>
              <w:t xml:space="preserve"/>
            </w:r>
          </w:p>
        </w:tc>
        <w:tc>
          <w:tcPr>
            <w:tcW w:type="dxa" w:w="33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color w:val="666666"/>
                <w:sz w:val="18"/>
                <w:szCs w:val="18"/>
              </w:rPr>
              <w:t xml:space="preserve"/>
            </w:r>
          </w:p>
        </w:tc>
      </w:tr>
    </w:tbl>
    <w:p>
      <w:r>
        <w:br w:type="page"/>
      </w:r>
    </w:p>
    <w:p>
      <w:pPr>
        <w:pStyle w:val="Heading1"/>
        <w:spacing w:before="360" w:after="120"/>
      </w:pPr>
      <w:r>
        <w:rPr>
          <w:rFonts w:ascii="Arial" w:cs="Arial" w:eastAsia="Arial" w:hAnsi="Arial"/>
          <w:b/>
          <w:bCs/>
          <w:color w:val="1B3A5C"/>
          <w:sz w:val="28"/>
          <w:szCs w:val="28"/>
        </w:rPr>
        <w:t xml:space="preserve">8. Plan Testing and Maintenance *</w:t>
      </w:r>
    </w:p>
    <w:p>
      <w:pPr>
        <w:pStyle w:val="Heading2"/>
        <w:spacing w:before="240" w:after="100"/>
      </w:pPr>
      <w:r>
        <w:rPr>
          <w:rFonts w:ascii="Arial" w:cs="Arial" w:eastAsia="Arial" w:hAnsi="Arial"/>
          <w:b/>
          <w:bCs/>
          <w:color w:val="2E75B6"/>
          <w:sz w:val="24"/>
          <w:szCs w:val="24"/>
        </w:rPr>
        <w:t xml:space="preserve">8.1 Testing Schedule</w:t>
      </w:r>
    </w:p>
    <w:p>
      <w:pPr>
        <w:spacing w:after="120"/>
      </w:pPr>
      <w:r>
        <w:rPr>
          <w:rFonts w:ascii="Arial" w:cs="Arial" w:eastAsia="Arial" w:hAnsi="Arial"/>
          <w:color w:val="333333"/>
          <w:sz w:val="20"/>
          <w:szCs w:val="20"/>
        </w:rPr>
        <w:t xml:space="preserve">Regular testing ensures the incident response plan remains effective and that team members understand their roles. The following testing schedule is recommended: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500"/>
        <w:gridCol w:w="1800"/>
        <w:gridCol w:w="1800"/>
        <w:gridCol w:w="1800"/>
        <w:gridCol w:w="1460"/>
      </w:tblGrid>
      <w:tr>
        <w:tc>
          <w:tcPr>
            <w:tcW w:type="dxa" w:w="25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Exercise Type</w:t>
            </w:r>
          </w:p>
        </w:tc>
        <w:tc>
          <w:tcPr>
            <w:tcW w:type="dxa" w:w="18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Frequency</w:t>
            </w:r>
          </w:p>
        </w:tc>
        <w:tc>
          <w:tcPr>
            <w:tcW w:type="dxa" w:w="18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Participants</w:t>
            </w:r>
          </w:p>
        </w:tc>
        <w:tc>
          <w:tcPr>
            <w:tcW w:type="dxa" w:w="18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Last Completed</w:t>
            </w:r>
          </w:p>
        </w:tc>
        <w:tc>
          <w:tcPr>
            <w:tcW w:type="dxa" w:w="146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Next Due</w:t>
            </w:r>
          </w:p>
        </w:tc>
      </w:tr>
      <w:tr>
        <w:tc>
          <w:tcPr>
            <w:tcW w:type="dxa" w:w="2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Tabletop Exercise</w:t>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333333"/>
                <w:sz w:val="20"/>
                <w:szCs w:val="20"/>
              </w:rPr>
              <w:t xml:space="preserve">Annually</w:t>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333333"/>
                <w:sz w:val="20"/>
                <w:szCs w:val="20"/>
              </w:rPr>
              <w:t xml:space="preserve">Full IRT</w:t>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4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r>
      <w:tr>
        <w:tc>
          <w:tcPr>
            <w:tcW w:type="dxa" w:w="25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Backup Recovery Test</w:t>
            </w:r>
          </w:p>
        </w:tc>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333333"/>
                <w:sz w:val="20"/>
                <w:szCs w:val="20"/>
              </w:rPr>
              <w:t xml:space="preserve">Quarterly</w:t>
            </w:r>
          </w:p>
        </w:tc>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333333"/>
                <w:sz w:val="20"/>
                <w:szCs w:val="20"/>
              </w:rPr>
              <w:t xml:space="preserve">IT Team</w:t>
            </w:r>
          </w:p>
        </w:tc>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4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r>
      <w:tr>
        <w:tc>
          <w:tcPr>
            <w:tcW w:type="dxa" w:w="2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Phishing Simulation</w:t>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333333"/>
                <w:sz w:val="20"/>
                <w:szCs w:val="20"/>
              </w:rPr>
              <w:t xml:space="preserve">Quarterly</w:t>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333333"/>
                <w:sz w:val="20"/>
                <w:szCs w:val="20"/>
              </w:rPr>
              <w:t xml:space="preserve">All Employees</w:t>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4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r>
      <w:tr>
        <w:tc>
          <w:tcPr>
            <w:tcW w:type="dxa" w:w="25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Communication Test</w:t>
            </w:r>
          </w:p>
        </w:tc>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333333"/>
                <w:sz w:val="20"/>
                <w:szCs w:val="20"/>
              </w:rPr>
              <w:t xml:space="preserve">Semi-Annually</w:t>
            </w:r>
          </w:p>
        </w:tc>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333333"/>
                <w:sz w:val="20"/>
                <w:szCs w:val="20"/>
              </w:rPr>
              <w:t xml:space="preserve">IRT + Comms</w:t>
            </w:r>
          </w:p>
        </w:tc>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4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r>
      <w:tr>
        <w:tc>
          <w:tcPr>
            <w:tcW w:type="dxa" w:w="2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Full Simulation Exercise</w:t>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333333"/>
                <w:sz w:val="20"/>
                <w:szCs w:val="20"/>
              </w:rPr>
              <w:t xml:space="preserve">Every 2 Years</w:t>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333333"/>
                <w:sz w:val="20"/>
                <w:szCs w:val="20"/>
              </w:rPr>
              <w:t xml:space="preserve">All Stakeholders</w:t>
            </w:r>
          </w:p>
        </w:tc>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c>
          <w:tcPr>
            <w:tcW w:type="dxa" w:w="14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r>
    </w:tbl>
    <w:p>
      <w:pPr>
        <w:pStyle w:val="Heading2"/>
        <w:spacing w:before="240" w:after="100"/>
      </w:pPr>
      <w:r>
        <w:rPr>
          <w:rFonts w:ascii="Arial" w:cs="Arial" w:eastAsia="Arial" w:hAnsi="Arial"/>
          <w:b/>
          <w:bCs/>
          <w:color w:val="2E75B6"/>
          <w:sz w:val="24"/>
          <w:szCs w:val="24"/>
        </w:rPr>
        <w:t xml:space="preserve">8.2 Plan Maintenance</w:t>
      </w:r>
    </w:p>
    <w:p>
      <w:pPr>
        <w:spacing w:after="120"/>
      </w:pPr>
      <w:r>
        <w:rPr>
          <w:rFonts w:ascii="Arial" w:cs="Arial" w:eastAsia="Arial" w:hAnsi="Arial"/>
          <w:color w:val="333333"/>
          <w:sz w:val="20"/>
          <w:szCs w:val="20"/>
        </w:rPr>
        <w:t xml:space="preserve">This Incident Response Plan must be treated as a living document. The following events should trigger a review and update:</w:t>
      </w:r>
    </w:p>
    <w:p>
      <w:pPr>
        <w:pStyle w:val="ListParagraph"/>
        <w:numPr>
          <w:ilvl w:val="0"/>
          <w:numId w:val="2"/>
        </w:numPr>
        <w:spacing w:after="60"/>
      </w:pPr>
      <w:r>
        <w:rPr>
          <w:rFonts w:ascii="Arial" w:cs="Arial" w:eastAsia="Arial" w:hAnsi="Arial"/>
          <w:color w:val="333333"/>
          <w:sz w:val="20"/>
          <w:szCs w:val="20"/>
        </w:rPr>
        <w:t xml:space="preserve">Annual scheduled review (at minimum)</w:t>
      </w:r>
    </w:p>
    <w:p>
      <w:pPr>
        <w:pStyle w:val="ListParagraph"/>
        <w:numPr>
          <w:ilvl w:val="0"/>
          <w:numId w:val="2"/>
        </w:numPr>
        <w:spacing w:after="60"/>
      </w:pPr>
      <w:r>
        <w:rPr>
          <w:rFonts w:ascii="Arial" w:cs="Arial" w:eastAsia="Arial" w:hAnsi="Arial"/>
          <w:color w:val="333333"/>
          <w:sz w:val="20"/>
          <w:szCs w:val="20"/>
        </w:rPr>
        <w:t xml:space="preserve">After any actual cybersecurity incident</w:t>
      </w:r>
    </w:p>
    <w:p>
      <w:pPr>
        <w:pStyle w:val="ListParagraph"/>
        <w:numPr>
          <w:ilvl w:val="0"/>
          <w:numId w:val="2"/>
        </w:numPr>
        <w:spacing w:after="60"/>
      </w:pPr>
      <w:r>
        <w:rPr>
          <w:rFonts w:ascii="Arial" w:cs="Arial" w:eastAsia="Arial" w:hAnsi="Arial"/>
          <w:color w:val="333333"/>
          <w:sz w:val="20"/>
          <w:szCs w:val="20"/>
        </w:rPr>
        <w:t xml:space="preserve">After any tabletop exercise or simulation</w:t>
      </w:r>
    </w:p>
    <w:p>
      <w:pPr>
        <w:pStyle w:val="ListParagraph"/>
        <w:numPr>
          <w:ilvl w:val="0"/>
          <w:numId w:val="2"/>
        </w:numPr>
        <w:spacing w:after="60"/>
      </w:pPr>
      <w:r>
        <w:rPr>
          <w:rFonts w:ascii="Arial" w:cs="Arial" w:eastAsia="Arial" w:hAnsi="Arial"/>
          <w:color w:val="333333"/>
          <w:sz w:val="20"/>
          <w:szCs w:val="20"/>
        </w:rPr>
        <w:t xml:space="preserve">Significant changes to IT infrastructure, systems, or vendors</w:t>
      </w:r>
    </w:p>
    <w:p>
      <w:pPr>
        <w:pStyle w:val="ListParagraph"/>
        <w:numPr>
          <w:ilvl w:val="0"/>
          <w:numId w:val="2"/>
        </w:numPr>
        <w:spacing w:after="60"/>
      </w:pPr>
      <w:r>
        <w:rPr>
          <w:rFonts w:ascii="Arial" w:cs="Arial" w:eastAsia="Arial" w:hAnsi="Arial"/>
          <w:color w:val="333333"/>
          <w:sz w:val="20"/>
          <w:szCs w:val="20"/>
        </w:rPr>
        <w:t xml:space="preserve">Changes in regulatory requirements or legal obligations</w:t>
      </w:r>
    </w:p>
    <w:p>
      <w:pPr>
        <w:pStyle w:val="ListParagraph"/>
        <w:numPr>
          <w:ilvl w:val="0"/>
          <w:numId w:val="2"/>
        </w:numPr>
        <w:spacing w:after="60"/>
      </w:pPr>
      <w:r>
        <w:rPr>
          <w:rFonts w:ascii="Arial" w:cs="Arial" w:eastAsia="Arial" w:hAnsi="Arial"/>
          <w:color w:val="333333"/>
          <w:sz w:val="20"/>
          <w:szCs w:val="20"/>
        </w:rPr>
        <w:t xml:space="preserve">Changes in business operations, personnel, or organizational structure</w:t>
      </w:r>
    </w:p>
    <w:p>
      <w:pPr>
        <w:pStyle w:val="ListParagraph"/>
        <w:numPr>
          <w:ilvl w:val="0"/>
          <w:numId w:val="2"/>
        </w:numPr>
        <w:spacing w:after="60"/>
      </w:pPr>
      <w:r>
        <w:rPr>
          <w:rFonts w:ascii="Arial" w:cs="Arial" w:eastAsia="Arial" w:hAnsi="Arial"/>
          <w:color w:val="333333"/>
          <w:sz w:val="20"/>
          <w:szCs w:val="20"/>
        </w:rPr>
        <w:t xml:space="preserve">Cyber insurance policy renewal or changes in coverage</w:t>
      </w:r>
    </w:p>
    <w:p>
      <w:pPr>
        <w:pStyle w:val="Heading2"/>
        <w:spacing w:before="240" w:after="100"/>
      </w:pPr>
      <w:r>
        <w:rPr>
          <w:rFonts w:ascii="Arial" w:cs="Arial" w:eastAsia="Arial" w:hAnsi="Arial"/>
          <w:b/>
          <w:bCs/>
          <w:color w:val="2E75B6"/>
          <w:sz w:val="24"/>
          <w:szCs w:val="24"/>
        </w:rPr>
        <w:t xml:space="preserve">8.3 Distribution and Accessibility</w:t>
      </w:r>
    </w:p>
    <w:p>
      <w:pPr>
        <w:spacing w:after="120"/>
      </w:pPr>
      <w:r>
        <w:rPr>
          <w:rFonts w:ascii="Arial" w:cs="Arial" w:eastAsia="Arial" w:hAnsi="Arial"/>
          <w:color w:val="333333"/>
          <w:sz w:val="20"/>
          <w:szCs w:val="20"/>
        </w:rPr>
        <w:t xml:space="preserve">This plan must be accessible during an incident, including scenarios where primary systems are unavailable:</w:t>
      </w:r>
    </w:p>
    <w:p>
      <w:pPr>
        <w:pStyle w:val="ListParagraph"/>
        <w:numPr>
          <w:ilvl w:val="0"/>
          <w:numId w:val="2"/>
        </w:numPr>
        <w:spacing w:after="60"/>
      </w:pPr>
      <w:r>
        <w:rPr>
          <w:rFonts w:ascii="Arial" w:cs="Arial" w:eastAsia="Arial" w:hAnsi="Arial"/>
          <w:color w:val="333333"/>
          <w:sz w:val="20"/>
          <w:szCs w:val="20"/>
        </w:rPr>
        <w:t xml:space="preserve">Digital copies stored in a secure, off-network location (encrypted USB, secure cloud)</w:t>
      </w:r>
    </w:p>
    <w:p>
      <w:pPr>
        <w:pStyle w:val="ListParagraph"/>
        <w:numPr>
          <w:ilvl w:val="0"/>
          <w:numId w:val="2"/>
        </w:numPr>
        <w:spacing w:after="60"/>
      </w:pPr>
      <w:r>
        <w:rPr>
          <w:rFonts w:ascii="Arial" w:cs="Arial" w:eastAsia="Arial" w:hAnsi="Arial"/>
          <w:color w:val="333333"/>
          <w:sz w:val="20"/>
          <w:szCs w:val="20"/>
        </w:rPr>
        <w:t xml:space="preserve">Printed copies provided to all IRT members and stored in a known physical location</w:t>
      </w:r>
    </w:p>
    <w:p>
      <w:pPr>
        <w:pStyle w:val="ListParagraph"/>
        <w:numPr>
          <w:ilvl w:val="0"/>
          <w:numId w:val="2"/>
        </w:numPr>
        <w:spacing w:after="60"/>
      </w:pPr>
      <w:r>
        <w:rPr>
          <w:rFonts w:ascii="Arial" w:cs="Arial" w:eastAsia="Arial" w:hAnsi="Arial"/>
          <w:color w:val="333333"/>
          <w:sz w:val="20"/>
          <w:szCs w:val="20"/>
        </w:rPr>
        <w:t xml:space="preserve">Emergency contact directory maintained as a separate quick-reference card</w:t>
      </w:r>
    </w:p>
    <w:p>
      <w:pPr>
        <w:pStyle w:val="ListParagraph"/>
        <w:numPr>
          <w:ilvl w:val="0"/>
          <w:numId w:val="2"/>
        </w:numPr>
        <w:spacing w:after="60"/>
      </w:pPr>
      <w:r>
        <w:rPr>
          <w:rFonts w:ascii="Arial" w:cs="Arial" w:eastAsia="Arial" w:hAnsi="Arial"/>
          <w:color w:val="333333"/>
          <w:sz w:val="20"/>
          <w:szCs w:val="20"/>
        </w:rPr>
        <w:t xml:space="preserve">All IRT members acknowledge receipt and understanding of this plan annually</w:t>
      </w:r>
    </w:p>
    <w:p>
      <w:pPr>
        <w:spacing w:after="200"/>
      </w:pPr>
    </w:p>
    <w:p>
      <w:pPr>
        <w:spacing w:before="200" w:after="80"/>
      </w:pPr>
      <w:r>
        <w:rPr>
          <w:rFonts w:ascii="Arial" w:cs="Arial" w:eastAsia="Arial" w:hAnsi="Arial"/>
          <w:b/>
          <w:bCs/>
          <w:color w:val="1B3A5C"/>
          <w:sz w:val="18"/>
          <w:szCs w:val="18"/>
        </w:rPr>
        <w:t xml:space="preserve">Disclaimer</w:t>
      </w:r>
    </w:p>
    <w:p>
      <w:pPr>
        <w:spacing w:after="80"/>
      </w:pPr>
      <w:r>
        <w:rPr>
          <w:rFonts w:ascii="Arial" w:cs="Arial" w:eastAsia="Arial" w:hAnsi="Arial"/>
          <w:color w:val="666666"/>
          <w:sz w:val="16"/>
          <w:szCs w:val="16"/>
        </w:rPr>
        <w:t xml:space="preserve">This template is provided by First Underwriters Insurance Brokers as a complimentary resource for informational and risk management purposes only. It does not constitute legal, technical, or professional advice. Every organization’s IT environment, regulatory obligations, and risk profile are unique; this template should be customized to fit your specific needs. Completion of this template does not guarantee insurance coverage or claim approval. Consult with your IT provider, legal counsel, and insurance broker to ensure your incident response plan meets all applicable requirements.</w:t>
      </w:r>
    </w:p>
    <w:p>
      <w:pPr>
        <w:spacing w:before="200" w:after="40"/>
        <w:jc w:val="center"/>
      </w:pPr>
      <w:r>
        <w:rPr>
          <w:rFonts w:ascii="Arial" w:cs="Arial" w:eastAsia="Arial" w:hAnsi="Arial"/>
          <w:b/>
          <w:bCs/>
          <w:color w:val="1B3A5C"/>
          <w:sz w:val="20"/>
          <w:szCs w:val="20"/>
        </w:rPr>
        <w:t xml:space="preserve">First Underwriters Insurance Brokers</w:t>
      </w:r>
    </w:p>
    <w:p>
      <w:pPr>
        <w:jc w:val="center"/>
      </w:pPr>
      <w:r>
        <w:rPr>
          <w:rFonts w:ascii="Arial" w:cs="Arial" w:eastAsia="Arial" w:hAnsi="Arial"/>
          <w:color w:val="666666"/>
          <w:sz w:val="16"/>
          <w:szCs w:val="16"/>
        </w:rPr>
        <w:t xml:space="preserve">4055 Lake Washington Blvd NE, Suite 100, Kirkland, WA 98033  |  (425) 242-5357  |  firstunderwriters.com</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CCCCC" w:sz="1"/>
      </w:pBdr>
      <w:spacing w:before="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500"/>
      <w:gridCol w:w="3860"/>
    </w:tblGrid>
    <w:tr>
      <w:tc>
        <w:tcPr>
          <w:tcW w:type="dxa" w:w="5500"/>
          <w:tcBorders>
            <w:top w:val="none" w:sz="0"/>
            <w:left w:val="none" w:sz="0"/>
            <w:bottom w:val="none" w:sz="0"/>
            <w:right w:val="none" w:sz="0"/>
          </w:tcBorders>
        </w:tcPr>
        <w:p>
          <w:r>
            <w:rPr>
              <w:rFonts w:ascii="Arial" w:cs="Arial" w:eastAsia="Arial" w:hAnsi="Arial"/>
              <w:color w:val="666666"/>
              <w:sz w:val="14"/>
              <w:szCs w:val="14"/>
            </w:rPr>
            <w:t xml:space="preserve">© First Underwriters Insurance Brokers  |  (425) 242-5357  |  firstunderwriters.com</w:t>
          </w:r>
        </w:p>
      </w:tc>
      <w:tc>
        <w:tcPr>
          <w:tcW w:type="dxa" w:w="3860"/>
          <w:tcBorders>
            <w:top w:val="none" w:sz="0"/>
            <w:left w:val="none" w:sz="0"/>
            <w:bottom w:val="none" w:sz="0"/>
            <w:right w:val="none" w:sz="0"/>
          </w:tcBorders>
        </w:tcPr>
        <w:p>
          <w:pPr>
            <w:jc w:val="right"/>
          </w:pPr>
          <w:r>
            <w:rPr>
              <w:rFonts w:ascii="Arial" w:cs="Arial" w:eastAsia="Arial" w:hAnsi="Arial"/>
              <w:color w:val="666666"/>
              <w:sz w:val="14"/>
              <w:szCs w:val="14"/>
            </w:rPr>
            <w:t xml:space="preserve">Page </w:t>
          </w:r>
          <w:r>
            <w:rPr>
              <w:rFonts w:ascii="Arial" w:cs="Arial" w:eastAsia="Arial" w:hAnsi="Arial"/>
              <w:color w:val="666666"/>
              <w:sz w:val="14"/>
              <w:szCs w:val="14"/>
            </w:rPr>
            <w:fldChar w:fldCharType="begin"/>
            <w:instrText xml:space="preserve">PAGE</w:instrText>
            <w:fldChar w:fldCharType="separate"/>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500"/>
      <w:gridCol w:w="3860"/>
    </w:tblGrid>
    <w:tr>
      <w:tc>
        <w:tcPr>
          <w:tcW w:type="dxa" w:w="5500"/>
          <w:tcBorders>
            <w:top w:val="none" w:sz="0"/>
            <w:left w:val="none" w:sz="0"/>
            <w:bottom w:val="none" w:sz="0"/>
            <w:right w:val="none" w:sz="0"/>
          </w:tcBorders>
        </w:tcPr>
        <w:p>
          <w:r>
            <w:rPr>
              <w:rFonts w:ascii="Arial" w:cs="Arial" w:eastAsia="Arial" w:hAnsi="Arial"/>
              <w:b/>
              <w:bCs/>
              <w:color w:val="1B3A5C"/>
              <w:sz w:val="18"/>
              <w:szCs w:val="18"/>
            </w:rPr>
            <w:t xml:space="preserve">First Underwriters Insurance Brokers</w:t>
          </w:r>
        </w:p>
      </w:tc>
      <w:tc>
        <w:tcPr>
          <w:tcW w:type="dxa" w:w="3860"/>
          <w:tcBorders>
            <w:top w:val="none" w:sz="0"/>
            <w:left w:val="none" w:sz="0"/>
            <w:bottom w:val="none" w:sz="0"/>
            <w:right w:val="none" w:sz="0"/>
          </w:tcBorders>
        </w:tcPr>
        <w:p>
          <w:pPr>
            <w:jc w:val="right"/>
          </w:pPr>
          <w:r>
            <w:rPr>
              <w:rFonts w:ascii="Arial" w:cs="Arial" w:eastAsia="Arial" w:hAnsi="Arial"/>
              <w:color w:val="2E75B6"/>
              <w:sz w:val="16"/>
              <w:szCs w:val="16"/>
            </w:rPr>
            <w:t xml:space="preserve">Incident Response Plan Template</w:t>
          </w:r>
        </w:p>
      </w:tc>
    </w:tr>
  </w:tbl>
  <w:p>
    <w:pPr>
      <w:pBdr>
        <w:bottom w:val="single" w:color="2E75B6" w:sz="2"/>
      </w:pBd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decimal"/>
      <w:lvlText w:val="%1."/>
      <w:lvlJc w:val="left"/>
      <w:pPr>
        <w:ind w:left="720" w:hanging="360"/>
      </w:pPr>
    </w:lvl>
  </w:abstractNum>
  <w:abstractNum w:abstractNumId="4" w15:restartNumberingAfterBreak="0">
    <w:multiLevelType w:val="hybridMultilevel"/>
    <w:lvl w:ilvl="0" w15:tentative="1">
      <w:start w:val="1"/>
      <w:numFmt w:val="decimal"/>
      <w:lvlText w:val="%1."/>
      <w:lvlJc w:val="left"/>
      <w:pPr>
        <w:ind w:left="720" w:hanging="360"/>
      </w:pPr>
    </w:lvl>
  </w:abstractNum>
  <w:abstractNum w:abstractNumId="5" w15:restartNumberingAfterBreak="0">
    <w:multiLevelType w:val="hybridMultilevel"/>
    <w:lvl w:ilvl="0" w15:tentative="1">
      <w:start w:val="1"/>
      <w:numFmt w:val="decimal"/>
      <w:lvlText w:val="%1."/>
      <w:lvlJc w:val="left"/>
      <w:pPr>
        <w:ind w:left="720" w:hanging="360"/>
      </w:pPr>
    </w:lvl>
  </w:abstractNum>
  <w:abstractNum w:abstractNumId="6" w15:restartNumberingAfterBreak="0">
    <w:multiLevelType w:val="hybridMultilevel"/>
    <w:lvl w:ilvl="0" w15:tentative="1">
      <w:start w:val="1"/>
      <w:numFmt w:val="decimal"/>
      <w:lvlText w:val="%1."/>
      <w:lvlJc w:val="left"/>
      <w:pPr>
        <w:ind w:left="720" w:hanging="360"/>
      </w:pPr>
    </w:lvl>
  </w:abstractNum>
  <w:abstractNum w:abstractNumId="7" w15:restartNumberingAfterBreak="0">
    <w:multiLevelType w:val="hybridMultilevel"/>
    <w:lvl w:ilvl="0" w15:tentative="1">
      <w:start w:val="1"/>
      <w:numFmt w:val="decimal"/>
      <w:lvlText w:val="%1."/>
      <w:lvlJc w:val="left"/>
      <w:pPr>
        <w:ind w:left="720" w:hanging="360"/>
      </w:pPr>
    </w:lvl>
  </w:abstractNum>
  <w:abstractNum w:abstractNumId="8" w15:restartNumberingAfterBreak="0">
    <w:multiLevelType w:val="hybridMultilevel"/>
    <w:lvl w:ilvl="0" w15:tentative="1">
      <w:start w:val="1"/>
      <w:numFmt w:val="decimal"/>
      <w:lvlText w:val="%1."/>
      <w:lvlJc w:val="left"/>
      <w:pPr>
        <w:ind w:left="720" w:hanging="360"/>
      </w:pPr>
    </w:lvl>
  </w:abstractNum>
  <w:abstractNum w:abstractNumId="9" w15:restartNumberingAfterBreak="0">
    <w:multiLevelType w:val="hybridMultilevel"/>
    <w:lvl w:ilvl="0" w15:tentative="1">
      <w:start w:val="1"/>
      <w:numFmt w:val="decimal"/>
      <w:lvlText w:val="%1."/>
      <w:lvlJc w:val="left"/>
      <w:pPr>
        <w:ind w:left="720" w:hanging="360"/>
      </w:pPr>
    </w:lvl>
  </w:abstractNum>
  <w:abstractNum w:abstractNumId="10" w15:restartNumberingAfterBreak="0">
    <w:multiLevelType w:val="hybridMultilevel"/>
    <w:lvl w:ilvl="0" w15:tentative="1">
      <w:start w:val="1"/>
      <w:numFmt w:val="decimal"/>
      <w:lvlText w:val="%1."/>
      <w:lvlJc w:val="left"/>
      <w:pPr>
        <w:ind w:left="720" w:hanging="360"/>
      </w:pPr>
    </w:lvl>
  </w:abstractNum>
  <w:abstractNum w:abstractNumId="11" w15:restartNumberingAfterBreak="0">
    <w:multiLevelType w:val="hybridMultilevel"/>
    <w:lvl w:ilvl="0" w15:tentative="1">
      <w:start w:val="1"/>
      <w:numFmt w:val="decimal"/>
      <w:lvlText w:val="%1."/>
      <w:lvlJc w:val="left"/>
      <w:pPr>
        <w:ind w:left="720" w:hanging="360"/>
      </w:pPr>
    </w:lvl>
  </w:abstractNum>
  <w:abstractNum w:abstractNumId="12" w15:restartNumberingAfterBreak="0">
    <w:multiLevelType w:val="hybridMultilevel"/>
    <w:lvl w:ilvl="0" w15:tentative="1">
      <w:start w:val="1"/>
      <w:numFmt w:val="decimal"/>
      <w:lvlText w:val="%1."/>
      <w:lvlJc w:val="left"/>
      <w:pPr>
        <w:ind w:left="720" w:hanging="360"/>
      </w:pPr>
    </w:lvl>
  </w:abstractNum>
  <w:abstractNum w:abstractNumId="13" w15:restartNumberingAfterBreak="0">
    <w:multiLevelType w:val="hybridMultilevel"/>
    <w:lvl w:ilvl="0" w15:tentative="1">
      <w:start w:val="1"/>
      <w:numFmt w:val="decimal"/>
      <w:lvlText w:val="%1."/>
      <w:lvlJc w:val="left"/>
      <w:pPr>
        <w:ind w:left="720" w:hanging="360"/>
      </w:pPr>
    </w:lvl>
  </w:abstractNum>
  <w:abstractNum w:abstractNumId="14"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 w:numId="4">
    <w:abstractNumId w:val="4"/>
    <w:lvlOverride w:ilvl="0">
      <w:startOverride w:val="1"/>
    </w:lvlOverride>
  </w:num>
  <w:num w:numId="5">
    <w:abstractNumId w:val="5"/>
    <w:lvlOverride w:ilvl="0">
      <w:startOverride w:val="1"/>
    </w:lvlOverride>
  </w:num>
  <w:num w:numId="6">
    <w:abstractNumId w:val="6"/>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333333"/>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360" w:after="120"/>
      <w:outlineLvl w:val="0"/>
    </w:pPr>
    <w:rPr>
      <w:rFonts w:ascii="Arial" w:cs="Arial" w:eastAsia="Arial" w:hAnsi="Arial"/>
      <w:b/>
      <w:bCs/>
      <w:color w:val="1B3A5C"/>
      <w:sz w:val="28"/>
      <w:szCs w:val="28"/>
    </w:rPr>
  </w:style>
  <w:style w:type="paragraph" w:styleId="Heading2">
    <w:name w:val="Heading 2"/>
    <w:basedOn w:val="Normal"/>
    <w:next w:val="Normal"/>
    <w:qFormat/>
    <w:pPr>
      <w:spacing w:before="240" w:after="100"/>
      <w:outlineLvl w:val="1"/>
    </w:pPr>
    <w:rPr>
      <w:rFonts w:ascii="Arial" w:cs="Arial" w:eastAsia="Arial" w:hAnsi="Arial"/>
      <w:b/>
      <w:bCs/>
      <w:color w:val="2E75B6"/>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2026-02-05T19:18:26.302Z</dcterms:created>
  <dcterms:modified xsi:type="dcterms:W3CDTF">2026-02-05T19:18:26.303Z</dcterms:modified>
</cp:coreProperties>
</file>

<file path=docProps/custom.xml><?xml version="1.0" encoding="utf-8"?>
<Properties xmlns="http://schemas.openxmlformats.org/officeDocument/2006/custom-properties" xmlns:vt="http://schemas.openxmlformats.org/officeDocument/2006/docPropsVTypes"/>
</file>