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1200" w:after="0"/>
      </w:pPr>
    </w:p>
    <w:p>
      <w:pPr>
        <w:spacing w:after="60"/>
        <w:jc w:val="left"/>
      </w:pPr>
      <w:r>
        <w:rPr>
          <w:rFonts w:ascii="Arial" w:cs="Arial" w:eastAsia="Arial" w:hAnsi="Arial"/>
          <w:color w:val="6B7280"/>
          <w:spacing w:val="80"/>
          <w:sz w:val="22"/>
          <w:szCs w:val="22"/>
        </w:rPr>
        <w:t xml:space="preserve">FIRST UNDERWRITERS INSURANCE BROKERS</w:t>
      </w:r>
    </w:p>
    <w:tbl>
      <w:tblPr>
        <w:tblW w:type="dxa" w:w="1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</w:tblGrid>
      <w:tr>
        <w:trPr>
          <w:trHeight w:val="60" w:hRule="exact"/>
        </w:trPr>
        <w:tc>
          <w:tcPr>
            <w:tcW w:type="dxa" w:w="1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D7377" w:val="clear"/>
          </w:tcPr>
          <w:p/>
        </w:tc>
      </w:tr>
    </w:tbl>
    <w:p>
      <w:pPr>
        <w:spacing w:before="400" w:after="0"/>
      </w:pPr>
    </w:p>
    <w:p>
      <w:pPr>
        <w:spacing w:after="80"/>
      </w:pPr>
      <w:r>
        <w:rPr>
          <w:rFonts w:ascii="Arial" w:cs="Arial" w:eastAsia="Arial" w:hAnsi="Arial"/>
          <w:b/>
          <w:bCs/>
          <w:color w:val="0B1D3A"/>
          <w:sz w:val="64"/>
          <w:szCs w:val="64"/>
        </w:rPr>
        <w:t xml:space="preserve">Incident Response</w:t>
      </w:r>
    </w:p>
    <w:p>
      <w:pPr>
        <w:spacing w:after="200"/>
      </w:pPr>
      <w:r>
        <w:rPr>
          <w:rFonts w:ascii="Arial" w:cs="Arial" w:eastAsia="Arial" w:hAnsi="Arial"/>
          <w:b/>
          <w:bCs/>
          <w:color w:val="0B1D3A"/>
          <w:sz w:val="64"/>
          <w:szCs w:val="64"/>
        </w:rPr>
        <w:t xml:space="preserve">Plan Template</w:t>
      </w:r>
    </w:p>
    <w:p>
      <w:pPr>
        <w:spacing w:after="300"/>
      </w:pPr>
      <w:r>
        <w:rPr>
          <w:rFonts w:ascii="Arial" w:cs="Arial" w:eastAsia="Arial" w:hAnsi="Arial"/>
          <w:b/>
          <w:bCs/>
          <w:color w:val="0D7377"/>
          <w:sz w:val="26"/>
          <w:szCs w:val="26"/>
        </w:rPr>
        <w:t xml:space="preserve">A Customizable Framework for Cyber Incident Preparedness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This template provides a structured, step-by-step framework for responding to cybersecurity incidents. Designed for small and mid-sized businesses, it covers preparation, detection, containment, recovery, and post-incident review.</w:t>
      </w:r>
    </w:p>
    <w:p>
      <w:pPr>
        <w:spacing w:before="100" w:after="0"/>
      </w:pP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Customize the bracketed fields throughout this document to reflect your organization's specific contacts, systems, and procedures.</w:t>
      </w:r>
    </w:p>
    <w:p>
      <w:pPr>
        <w:spacing w:before="600" w:after="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single" w:color="0D7377" w:sz="12"/>
              <w:bottom w:val="none" w:color="FFFFFF" w:sz="0"/>
              <w:right w:val="none" w:color="FFFFFF" w:sz="0"/>
            </w:tcBorders>
            <w:shd w:fill="EBF2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color w:val="0B1D3A"/>
                <w:sz w:val="20"/>
                <w:szCs w:val="20"/>
              </w:rPr>
              <w:t xml:space="preserve">Part of: Cyber Security Essentials for Small Business</w:t>
            </w:r>
          </w:p>
          <w:p>
            <w:pPr>
              <w:spacing w:after="40"/>
            </w:pPr>
            <w:r>
              <w:rPr>
                <w:rFonts w:ascii="Arial" w:cs="Arial" w:eastAsia="Arial" w:hAnsi="Arial"/>
                <w:color w:val="6B7280"/>
                <w:sz w:val="18"/>
                <w:szCs w:val="18"/>
              </w:rPr>
              <w:t xml:space="preserve">Free resource series from First Underwriters Insurance Brokers</w:t>
            </w:r>
          </w:p>
          <w:p>
            <w:r>
              <w:rPr>
                <w:rFonts w:ascii="Arial" w:cs="Arial" w:eastAsia="Arial" w:hAnsi="Arial"/>
                <w:color w:val="0D7377"/>
                <w:sz w:val="18"/>
                <w:szCs w:val="18"/>
              </w:rPr>
              <w:t xml:space="preserve">www.firstunderwriters.com</w:t>
            </w:r>
          </w:p>
        </w:tc>
      </w:tr>
    </w:tbl>
    <w:p>
      <w:r>
        <w:br w:type="page"/>
      </w:r>
    </w:p>
    <w:p>
      <w:pPr>
        <w:pStyle w:val="Heading1"/>
      </w:pPr>
      <w:r>
        <w:t xml:space="preserve">Table of Contents</w:t>
      </w:r>
    </w:p>
    <w:sdt>
      <w:sdtPr>
        <w:alias w:val="Table of Contents"/>
      </w:sdtPr>
      <w:sdtContent>
        <w:p>
          <w:r>
            <w:fldChar w:fldCharType="begin" w:dirty="true"/>
            <w:instrText xml:space="preserve">TOC \h \o "1-2"</w:instrText>
            <w:fldChar w:fldCharType="separate"/>
          </w:r>
        </w:p>
        <w:p>
          <w:r>
            <w:fldChar w:fldCharType="end"/>
          </w:r>
        </w:p>
      </w:sdtContent>
    </w:sdt>
    <w:p>
      <w:pPr>
        <w:spacing w:before="200" w:after="200"/>
      </w:pPr>
      <w:r>
        <w:rPr>
          <w:rFonts w:ascii="Arial" w:cs="Arial" w:eastAsia="Arial" w:hAnsi="Arial"/>
          <w:i/>
          <w:iCs/>
          <w:color w:val="6B7280"/>
          <w:sz w:val="18"/>
          <w:szCs w:val="18"/>
        </w:rPr>
        <w:t xml:space="preserve">Note: Update this table of contents after customizing the document (right-click &gt; Update Field in Word).</w:t>
      </w:r>
    </w:p>
    <w:p>
      <w:r>
        <w:br w:type="page"/>
      </w:r>
    </w:p>
    <w:p>
      <w:pPr>
        <w:pStyle w:val="Heading1"/>
      </w:pPr>
      <w:r>
        <w:t xml:space="preserve">Section 1: Document Control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6B7280"/>
          <w:sz w:val="20"/>
          <w:szCs w:val="20"/>
        </w:rPr>
        <w:t xml:space="preserve">Maintain version control to ensure all team members reference the current plan.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6360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Organization Name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Document Title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Version Number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Effective Date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Last Reviewed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Next Review Date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Document Owner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Classification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</w:tbl>
    <w:p>
      <w:pPr>
        <w:spacing w:before="200" w:after="0"/>
      </w:pPr>
    </w:p>
    <w:p>
      <w:pPr>
        <w:pStyle w:val="Heading2"/>
      </w:pPr>
      <w:r>
        <w:t xml:space="preserve">Revision History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200"/>
        <w:gridCol w:w="1600"/>
        <w:gridCol w:w="2400"/>
        <w:gridCol w:w="2000"/>
        <w:gridCol w:w="2160"/>
      </w:tblGrid>
      <w:tr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Version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Date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Description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Author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Approved By</w:t>
            </w:r>
          </w:p>
        </w:tc>
      </w:tr>
      <w:tr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</w:tbl>
    <w:p>
      <w:r>
        <w:br w:type="page"/>
      </w:r>
    </w:p>
    <w:p>
      <w:pPr>
        <w:pStyle w:val="Heading1"/>
      </w:pPr>
      <w:r>
        <w:t xml:space="preserve">Section 2: Purpose &amp; Scope</w:t>
      </w:r>
    </w:p>
    <w:p>
      <w:pPr>
        <w:pStyle w:val="Heading2"/>
      </w:pPr>
      <w:r>
        <w:t xml:space="preserve">Purpose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This Incident Response Plan (IRP) establishes procedures for detecting, responding to, containing, and recovering from cybersecurity incidents affecting [Company Name]. The plan ensures a coordinated, efficient response that minimizes damage, reduces recovery time, preserves evidence for potential legal proceedings, and satisfies regulatory and insurance notification requirements.</w:t>
      </w:r>
    </w:p>
    <w:p>
      <w:pPr>
        <w:pStyle w:val="Heading2"/>
      </w:pPr>
      <w:r>
        <w:t xml:space="preserve">Scope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This plan applies to all information systems, networks, applications, and data owned or managed by [Company Name], including cloud-hosted services, third-party integrations, employee devices, and remote work environments. All employees, contractors, and third-party vendors with access to company systems are expected to be familiar with and adhere to this plan.</w:t>
      </w:r>
    </w:p>
    <w:p>
      <w:pPr>
        <w:pStyle w:val="Heading2"/>
      </w:pPr>
      <w:r>
        <w:t xml:space="preserve">Objectives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Detect and identify cybersecurity incidents as quickly as possible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Contain incidents to prevent further damage or data loss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Eradicate threats and restore affected systems to normal operation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Preserve evidence for forensic investigation and potential legal action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Meet regulatory, contractual, and insurance notification requirements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Document lessons learned to strengthen future security posture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Minimize financial, operational, and reputational impact</w:t>
      </w:r>
    </w:p>
    <w:p>
      <w:r>
        <w:br w:type="page"/>
      </w:r>
    </w:p>
    <w:p>
      <w:pPr>
        <w:pStyle w:val="Heading1"/>
      </w:pPr>
      <w:r>
        <w:t xml:space="preserve">Section 3: Incident Response Team (IRT)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6B7280"/>
          <w:sz w:val="20"/>
          <w:szCs w:val="20"/>
        </w:rPr>
        <w:t xml:space="preserve">Define your core response team. All members should have this plan readily accessible and understand their specific responsibilities.</w:t>
      </w:r>
    </w:p>
    <w:p>
      <w:pPr>
        <w:pStyle w:val="Heading2"/>
      </w:pPr>
      <w:r>
        <w:t xml:space="preserve">Core Team Roster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3260"/>
        <w:gridCol w:w="1400"/>
        <w:gridCol w:w="1200"/>
        <w:gridCol w:w="1300"/>
      </w:tblGrid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Role</w:t>
            </w:r>
          </w:p>
        </w:tc>
        <w:tc>
          <w:tcPr>
            <w:tcW w:type="dxa" w:w="3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Responsibility</w:t>
            </w:r>
          </w:p>
        </w:tc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Name</w:t>
            </w:r>
          </w:p>
        </w:tc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Phone</w:t>
            </w:r>
          </w:p>
        </w:tc>
        <w:tc>
          <w:tcPr>
            <w:tcW w:type="dxa" w:w="13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Email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Incident Commander</w:t>
            </w:r>
          </w:p>
        </w:tc>
        <w:tc>
          <w:tcPr>
            <w:tcW w:type="dxa" w:w="3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6"/>
                <w:szCs w:val="16"/>
              </w:rPr>
              <w:t xml:space="preserve">Overall coordination; authorizes containment and communication decisions</w:t>
            </w:r>
          </w:p>
        </w:tc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3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IT Lead / Security Lead</w:t>
            </w:r>
          </w:p>
        </w:tc>
        <w:tc>
          <w:tcPr>
            <w:tcW w:type="dxa" w:w="3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6"/>
                <w:szCs w:val="16"/>
              </w:rPr>
              <w:t xml:space="preserve">Technical investigation, containment, eradication, and recovery</w:t>
            </w:r>
          </w:p>
        </w:tc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3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Communications Lead</w:t>
            </w:r>
          </w:p>
        </w:tc>
        <w:tc>
          <w:tcPr>
            <w:tcW w:type="dxa" w:w="3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6"/>
                <w:szCs w:val="16"/>
              </w:rPr>
              <w:t xml:space="preserve">Internal and external communications; media and customer notifications</w:t>
            </w:r>
          </w:p>
        </w:tc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3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Legal Counsel</w:t>
            </w:r>
          </w:p>
        </w:tc>
        <w:tc>
          <w:tcPr>
            <w:tcW w:type="dxa" w:w="3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6"/>
                <w:szCs w:val="16"/>
              </w:rPr>
              <w:t xml:space="preserve">Regulatory obligations, evidence preservation, liability assessment</w:t>
            </w:r>
          </w:p>
        </w:tc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3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HR Representative</w:t>
            </w:r>
          </w:p>
        </w:tc>
        <w:tc>
          <w:tcPr>
            <w:tcW w:type="dxa" w:w="3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6"/>
                <w:szCs w:val="16"/>
              </w:rPr>
              <w:t xml:space="preserve">Employee-related incidents; insider threat coordination</w:t>
            </w:r>
          </w:p>
        </w:tc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3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Executive Sponsor</w:t>
            </w:r>
          </w:p>
        </w:tc>
        <w:tc>
          <w:tcPr>
            <w:tcW w:type="dxa" w:w="32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6"/>
                <w:szCs w:val="16"/>
              </w:rPr>
              <w:t xml:space="preserve">Business continuity decisions; resource authorization</w:t>
            </w:r>
          </w:p>
        </w:tc>
        <w:tc>
          <w:tcPr>
            <w:tcW w:type="dxa" w:w="1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3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</w:tbl>
    <w:p>
      <w:pPr>
        <w:spacing w:before="200" w:after="0"/>
      </w:pPr>
    </w:p>
    <w:p>
      <w:pPr>
        <w:pStyle w:val="Heading2"/>
      </w:pPr>
      <w:r>
        <w:t xml:space="preserve">External Contacts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6B7280"/>
          <w:sz w:val="20"/>
          <w:szCs w:val="20"/>
        </w:rPr>
        <w:t xml:space="preserve">Pre-establish relationships with these contacts before an incident occurs.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600"/>
        <w:gridCol w:w="2080"/>
        <w:gridCol w:w="2080"/>
      </w:tblGrid>
      <w:t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Contact Type</w:t>
            </w:r>
          </w:p>
        </w:tc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Organization / Name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Phone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Policy / Acct #</w:t>
            </w:r>
          </w:p>
        </w:tc>
      </w:tr>
      <w:t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Cyber Insurance Carrier</w:t>
            </w:r>
          </w:p>
        </w:tc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Insurance Broker</w:t>
            </w:r>
          </w:p>
        </w:tc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First Underwriters Insurance Brokers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Breach Coach / Attorney</w:t>
            </w:r>
          </w:p>
        </w:tc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Forensics Provider</w:t>
            </w:r>
          </w:p>
        </w:tc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PR / Crisis Communications</w:t>
            </w:r>
          </w:p>
        </w:tc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Managed IT / MSSP</w:t>
            </w:r>
          </w:p>
        </w:tc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FBI / IC3 (Cyber Crime)</w:t>
            </w:r>
          </w:p>
        </w:tc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ic3.gov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State Attorney General</w:t>
            </w:r>
          </w:p>
        </w:tc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</w:tbl>
    <w:p>
      <w:r>
        <w:br w:type="page"/>
      </w:r>
    </w:p>
    <w:p>
      <w:pPr>
        <w:pStyle w:val="Heading1"/>
      </w:pPr>
      <w:r>
        <w:t xml:space="preserve">Section 4: Incident Classification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6B7280"/>
          <w:sz w:val="20"/>
          <w:szCs w:val="20"/>
        </w:rPr>
        <w:t xml:space="preserve">Classify incidents by severity to determine the appropriate level of response, escalation, and notification.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C53030" w:val="clear"/>
            <w:tcMar>
              <w:top w:type="dxa" w:w="60"/>
              <w:left w:type="dxa" w:w="140"/>
              <w:bottom w:type="dxa" w:w="6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>Critical (P1)</w:t>
            </w:r>
          </w:p>
        </w:tc>
      </w:tr>
    </w:tbl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7360"/>
      </w:tblGrid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Examples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Active ransomware, confirmed data breach involving PII/PHI, business systems completely unavailable, active attacker in network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Response Time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C53030"/>
                <w:sz w:val="18"/>
                <w:szCs w:val="18"/>
              </w:rPr>
              <w:t xml:space="preserve">Immediate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Escalation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All IRT members, executive team, insurance carrier, legal counsel, forensics provider</w:t>
            </w:r>
          </w:p>
        </w:tc>
      </w:tr>
    </w:tbl>
    <w:p>
      <w:pPr>
        <w:spacing w:before="160" w:after="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97706" w:val="clear"/>
            <w:tcMar>
              <w:top w:type="dxa" w:w="60"/>
              <w:left w:type="dxa" w:w="140"/>
              <w:bottom w:type="dxa" w:w="6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>High (P2)</w:t>
            </w:r>
          </w:p>
        </w:tc>
      </w:tr>
    </w:tbl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7360"/>
      </w:tblGrid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Examples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Suspected data exfiltration, compromised admin account, widespread malware infection, significant system degradation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Response Time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D97706"/>
                <w:sz w:val="18"/>
                <w:szCs w:val="18"/>
              </w:rPr>
              <w:t xml:space="preserve">Within 1 hour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Escalation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Incident Commander, IT Lead, Legal Counsel, insurance carrier</w:t>
            </w:r>
          </w:p>
        </w:tc>
      </w:tr>
    </w:tbl>
    <w:p>
      <w:pPr>
        <w:spacing w:before="160" w:after="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2B6CB0" w:val="clear"/>
            <w:tcMar>
              <w:top w:type="dxa" w:w="60"/>
              <w:left w:type="dxa" w:w="140"/>
              <w:bottom w:type="dxa" w:w="6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>Medium (P3)</w:t>
            </w:r>
          </w:p>
        </w:tc>
      </w:tr>
    </w:tbl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7360"/>
      </w:tblGrid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Examples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Phishing attack with credential compromise (single user), isolated malware, unauthorized access attempt detected and blocked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Response Time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2B6CB0"/>
                <w:sz w:val="18"/>
                <w:szCs w:val="18"/>
              </w:rPr>
              <w:t xml:space="preserve">Within 4 hours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Escalation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Incident Commander, IT Lead</w:t>
            </w:r>
          </w:p>
        </w:tc>
      </w:tr>
    </w:tbl>
    <w:p>
      <w:pPr>
        <w:spacing w:before="160" w:after="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47857" w:val="clear"/>
            <w:tcMar>
              <w:top w:type="dxa" w:w="60"/>
              <w:left w:type="dxa" w:w="140"/>
              <w:bottom w:type="dxa" w:w="60"/>
              <w:right w:type="dxa" w:w="14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>Low (P4)</w:t>
            </w:r>
          </w:p>
        </w:tc>
      </w:tr>
    </w:tbl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7360"/>
      </w:tblGrid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Examples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Failed phishing attempt, policy violation, suspicious activity under investigation, minor vulnerability discovered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Response Time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047857"/>
                <w:sz w:val="18"/>
                <w:szCs w:val="18"/>
              </w:rPr>
              <w:t xml:space="preserve">Within 24 hours</w:t>
            </w:r>
          </w:p>
        </w:tc>
      </w:tr>
      <w:tr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Escalation</w:t>
            </w:r>
          </w:p>
        </w:tc>
        <w:tc>
          <w:tcPr>
            <w:tcW w:type="dxa" w:w="7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IT Lead</w:t>
            </w:r>
          </w:p>
        </w:tc>
      </w:tr>
    </w:tbl>
    <w:p>
      <w:pPr>
        <w:spacing w:before="160" w:after="0"/>
      </w:pPr>
    </w:p>
    <w:p>
      <w:r>
        <w:br w:type="page"/>
      </w:r>
    </w:p>
    <w:p>
      <w:pPr>
        <w:pStyle w:val="Heading1"/>
      </w:pPr>
      <w:r>
        <w:t xml:space="preserve">Section 5: Incident Response Phases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The following six phases form the core of the incident response process. Each phase includes specific actions, responsible parties, and documentation requirements.</w:t>
      </w:r>
    </w:p>
    <w:p>
      <w:pPr>
        <w:pStyle w:val="Heading2"/>
      </w:pPr>
      <w:r>
        <w:t xml:space="preserve">Phase 1: Preparation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Preparation activities should be completed before an incident occurs. These measures ensure the organization is ready to respond effectively.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Distribute this Incident Response Plan to all IRT members and store copies in accessible locations (printed and digital)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Ensure MFA is enabled on all critical accounts and administrative systems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Maintain current network diagrams, asset inventories, and system configuration documentation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Verify backup systems are operational with tested restore procedures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Conduct tabletop exercises at least annually to rehearse incident scenarios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Establish relationships with external forensics, legal, and communications providers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Review cyber insurance policy to confirm coverage, limits, and notification requirements</w:t>
      </w:r>
    </w:p>
    <w:p>
      <w:pPr>
        <w:pStyle w:val="ListParagraph"/>
        <w:numPr>
          <w:ilvl w:val="0"/>
          <w:numId w:val="3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Train all employees on recognizing and reporting potential security incidents</w:t>
      </w:r>
    </w:p>
    <w:p>
      <w:pPr>
        <w:spacing w:before="100" w:after="0"/>
      </w:pPr>
    </w:p>
    <w:p>
      <w:pPr>
        <w:pStyle w:val="Heading2"/>
      </w:pPr>
      <w:r>
        <w:t xml:space="preserve">Phase 2: Detection &amp; Analysis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When a potential incident is detected, the priority is to confirm whether an incident has occurred, determine its scope and severity, and begin documenting all findings.</w:t>
      </w:r>
    </w:p>
    <w:p>
      <w:pPr>
        <w:spacing w:after="20"/>
      </w:pPr>
      <w:r>
        <w:rPr>
          <w:rFonts w:ascii="Arial" w:cs="Arial" w:eastAsia="Arial" w:hAnsi="Arial"/>
          <w:b/>
          <w:bCs/>
          <w:color w:val="0B1D3A"/>
          <w:sz w:val="20"/>
          <w:szCs w:val="20"/>
        </w:rPr>
        <w:t xml:space="preserve">1. Identify the alert source</w:t>
      </w:r>
    </w:p>
    <w:p>
      <w:pPr>
        <w:spacing w:after="100"/>
        <w:ind w:left="360"/>
      </w:pPr>
      <w:r>
        <w:rPr>
          <w:rFonts w:ascii="Arial" w:cs="Arial" w:eastAsia="Arial" w:hAnsi="Arial"/>
          <w:color w:val="1F2937"/>
          <w:sz w:val="19"/>
          <w:szCs w:val="19"/>
        </w:rPr>
        <w:t xml:space="preserve">Document how the incident was detected (monitoring tool, employee report, vendor notification, customer complaint, law enforcement contact).</w:t>
      </w:r>
    </w:p>
    <w:p>
      <w:pPr>
        <w:spacing w:after="20"/>
      </w:pPr>
      <w:r>
        <w:rPr>
          <w:rFonts w:ascii="Arial" w:cs="Arial" w:eastAsia="Arial" w:hAnsi="Arial"/>
          <w:b/>
          <w:bCs/>
          <w:color w:val="0B1D3A"/>
          <w:sz w:val="20"/>
          <w:szCs w:val="20"/>
        </w:rPr>
        <w:t xml:space="preserve">2. Confirm the incident</w:t>
      </w:r>
    </w:p>
    <w:p>
      <w:pPr>
        <w:spacing w:after="100"/>
        <w:ind w:left="360"/>
      </w:pPr>
      <w:r>
        <w:rPr>
          <w:rFonts w:ascii="Arial" w:cs="Arial" w:eastAsia="Arial" w:hAnsi="Arial"/>
          <w:color w:val="1F2937"/>
          <w:sz w:val="19"/>
          <w:szCs w:val="19"/>
        </w:rPr>
        <w:t xml:space="preserve">Verify the alert is a true positive. Gather initial evidence: timestamps, affected systems, IP addresses, user accounts involved.</w:t>
      </w:r>
    </w:p>
    <w:p>
      <w:pPr>
        <w:spacing w:after="20"/>
      </w:pPr>
      <w:r>
        <w:rPr>
          <w:rFonts w:ascii="Arial" w:cs="Arial" w:eastAsia="Arial" w:hAnsi="Arial"/>
          <w:b/>
          <w:bCs/>
          <w:color w:val="0B1D3A"/>
          <w:sz w:val="20"/>
          <w:szCs w:val="20"/>
        </w:rPr>
        <w:t xml:space="preserve">3. Classify severity</w:t>
      </w:r>
    </w:p>
    <w:p>
      <w:pPr>
        <w:spacing w:after="100"/>
        <w:ind w:left="360"/>
      </w:pPr>
      <w:r>
        <w:rPr>
          <w:rFonts w:ascii="Arial" w:cs="Arial" w:eastAsia="Arial" w:hAnsi="Arial"/>
          <w:color w:val="1F2937"/>
          <w:sz w:val="19"/>
          <w:szCs w:val="19"/>
        </w:rPr>
        <w:t xml:space="preserve">Use the classification matrix in Section 4 to assign a severity level (P1-P4).</w:t>
      </w:r>
    </w:p>
    <w:p>
      <w:pPr>
        <w:spacing w:after="20"/>
      </w:pPr>
      <w:r>
        <w:rPr>
          <w:rFonts w:ascii="Arial" w:cs="Arial" w:eastAsia="Arial" w:hAnsi="Arial"/>
          <w:b/>
          <w:bCs/>
          <w:color w:val="0B1D3A"/>
          <w:sz w:val="20"/>
          <w:szCs w:val="20"/>
        </w:rPr>
        <w:t xml:space="preserve">4. Activate the IRT</w:t>
      </w:r>
    </w:p>
    <w:p>
      <w:pPr>
        <w:spacing w:after="100"/>
        <w:ind w:left="360"/>
      </w:pPr>
      <w:r>
        <w:rPr>
          <w:rFonts w:ascii="Arial" w:cs="Arial" w:eastAsia="Arial" w:hAnsi="Arial"/>
          <w:color w:val="1F2937"/>
          <w:sz w:val="19"/>
          <w:szCs w:val="19"/>
        </w:rPr>
        <w:t xml:space="preserve">Notify appropriate team members based on the severity level. Establish a communication channel (dedicated Teams/Slack channel, phone bridge).</w:t>
      </w:r>
    </w:p>
    <w:p>
      <w:pPr>
        <w:spacing w:after="20"/>
      </w:pPr>
      <w:r>
        <w:rPr>
          <w:rFonts w:ascii="Arial" w:cs="Arial" w:eastAsia="Arial" w:hAnsi="Arial"/>
          <w:b/>
          <w:bCs/>
          <w:color w:val="0B1D3A"/>
          <w:sz w:val="20"/>
          <w:szCs w:val="20"/>
        </w:rPr>
        <w:t xml:space="preserve">5. Notify cyber insurance</w:t>
      </w:r>
    </w:p>
    <w:p>
      <w:pPr>
        <w:spacing w:after="100"/>
        <w:ind w:left="360"/>
      </w:pPr>
      <w:r>
        <w:rPr>
          <w:rFonts w:ascii="Arial" w:cs="Arial" w:eastAsia="Arial" w:hAnsi="Arial"/>
          <w:color w:val="1F2937"/>
          <w:sz w:val="19"/>
          <w:szCs w:val="19"/>
        </w:rPr>
        <w:t xml:space="preserve">For P1 and P2 incidents, contact your cyber insurance carrier immediately. Many policies require notification within 24-72 hours of discovery.</w:t>
      </w:r>
    </w:p>
    <w:p>
      <w:pPr>
        <w:spacing w:after="20"/>
      </w:pPr>
      <w:r>
        <w:rPr>
          <w:rFonts w:ascii="Arial" w:cs="Arial" w:eastAsia="Arial" w:hAnsi="Arial"/>
          <w:b/>
          <w:bCs/>
          <w:color w:val="0B1D3A"/>
          <w:sz w:val="20"/>
          <w:szCs w:val="20"/>
        </w:rPr>
        <w:t xml:space="preserve">6. Begin the Incident Log</w:t>
      </w:r>
    </w:p>
    <w:p>
      <w:pPr>
        <w:spacing w:after="100"/>
        <w:ind w:left="360"/>
      </w:pPr>
      <w:r>
        <w:rPr>
          <w:rFonts w:ascii="Arial" w:cs="Arial" w:eastAsia="Arial" w:hAnsi="Arial"/>
          <w:color w:val="1F2937"/>
          <w:sz w:val="19"/>
          <w:szCs w:val="19"/>
        </w:rPr>
        <w:t xml:space="preserve">Start recording all actions, decisions, and observations in the Incident Documentation Form (Section 7). Use timestamps for every entry.</w:t>
      </w:r>
    </w:p>
    <w:p>
      <w:r>
        <w:br w:type="page"/>
      </w:r>
    </w:p>
    <w:p>
      <w:pPr>
        <w:pStyle w:val="Heading2"/>
      </w:pPr>
      <w:r>
        <w:t xml:space="preserve">Phase 3: Containment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Containment limits the damage and prevents the incident from spreading. Balance the need for rapid containment against the need to preserve evidence.</w:t>
      </w:r>
    </w:p>
    <w:p>
      <w:pPr>
        <w:spacing w:after="120"/>
      </w:pPr>
      <w:r>
        <w:rPr>
          <w:rFonts w:ascii="Arial" w:cs="Arial" w:eastAsia="Arial" w:hAnsi="Arial"/>
          <w:b/>
          <w:bCs/>
          <w:color w:val="1F2937"/>
          <w:sz w:val="20"/>
          <w:szCs w:val="20"/>
        </w:rPr>
        <w:t xml:space="preserve">Short-Term Containment (Immediate)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Isolate affected systems from the network (disconnect Ethernet, disable Wi-Fi) but do NOT power off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Disable compromised user accounts and reset credentials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Block malicious IP addresses, domains, and email addresses at the firewall and email gateway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Revoke VPN access tokens for affected users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Redirect traffic away from compromised servers if applicable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Take forensic images of affected systems before making changes (if forensics provider is engaged)</w:t>
      </w:r>
    </w:p>
    <w:p>
      <w:pPr>
        <w:spacing w:before="100" w:after="0"/>
      </w:pPr>
    </w:p>
    <w:p>
      <w:pPr>
        <w:spacing w:after="120"/>
      </w:pPr>
      <w:r>
        <w:rPr>
          <w:rFonts w:ascii="Arial" w:cs="Arial" w:eastAsia="Arial" w:hAnsi="Arial"/>
          <w:b/>
          <w:bCs/>
          <w:color w:val="1F2937"/>
          <w:sz w:val="20"/>
          <w:szCs w:val="20"/>
        </w:rPr>
        <w:t xml:space="preserve">Long-Term Containment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Apply emergency patches to exploited vulnerabilities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Implement additional network segmentation to isolate affected zones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Deploy enhanced monitoring on affected and adjacent systems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Reset all credentials for the affected domain or environment if scope is uncertain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Engage managed detection and response (MDR) for 24/7 monitoring if not already in place</w:t>
      </w:r>
    </w:p>
    <w:p>
      <w:pPr>
        <w:spacing w:before="100" w:after="0"/>
      </w:pPr>
    </w:p>
    <w:p>
      <w:pPr>
        <w:pStyle w:val="Heading2"/>
      </w:pPr>
      <w:r>
        <w:t xml:space="preserve">Phase 4: Eradication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Once contained, eliminate the root cause of the incident and remove all traces of the threat from the environment.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Identify and remove all malware, backdoors, and unauthorized software from affected systems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Patch the vulnerability or close the attack vector that enabled the initial compromise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Rebuild compromised systems from known-good images or backups (do not simply clean infected systems)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Scan all systems in the environment for indicators of compromise (IOCs) identified during investigation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Verify that all compromised credentials have been reset across all systems and services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Confirm removal of any unauthorized accounts or privilege escalations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Update firewall rules, email filters, and endpoint protection signatures based on threat intelligence gathered</w:t>
      </w:r>
    </w:p>
    <w:p>
      <w:r>
        <w:br w:type="page"/>
      </w:r>
    </w:p>
    <w:p>
      <w:pPr>
        <w:pStyle w:val="Heading2"/>
      </w:pPr>
      <w:r>
        <w:t xml:space="preserve">Phase 5: Recovery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Restore affected systems to normal operation carefully and methodically. Rushed recovery is the leading cause of re-infection.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Restore systems from verified clean backups (confirm backup integrity before restoring)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Reconnect systems to the network in a staged manner, starting with the most critical services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Monitor restored systems closely for 48-72 hours for signs of re-infection or persistence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Verify all security controls are active and functioning (antivirus, EDR, firewall, MFA)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Gradually restore user access, beginning with essential personnel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Test business applications to confirm normal operation before returning to production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Communicate restoration status to affected stakeholders, customers, and partners as appropriate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Document the full recovery timeline, any data loss, and remaining remediation items</w:t>
      </w:r>
    </w:p>
    <w:p>
      <w:pPr>
        <w:spacing w:before="100" w:after="0"/>
      </w:pPr>
    </w:p>
    <w:p>
      <w:pPr>
        <w:pStyle w:val="Heading2"/>
      </w:pPr>
      <w:r>
        <w:t xml:space="preserve">Phase 6: Post-Incident Review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Conduct a formal post-incident review within 5-10 business days of incident closure. The goal is to learn, not to blame. Document findings and assign action items with owners and deadlines.</w:t>
      </w:r>
    </w:p>
    <w:p>
      <w:pPr>
        <w:spacing w:after="120"/>
      </w:pPr>
      <w:r>
        <w:rPr>
          <w:rFonts w:ascii="Arial" w:cs="Arial" w:eastAsia="Arial" w:hAnsi="Arial"/>
          <w:b/>
          <w:bCs/>
          <w:color w:val="1F2937"/>
          <w:sz w:val="20"/>
          <w:szCs w:val="20"/>
        </w:rPr>
        <w:t xml:space="preserve">Review Agenda Items: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Incident timeline reconstruction: what happened, when, and how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What detection mechanisms worked and what failed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Were response procedures followed? Where did the team deviate from the plan?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What was the total business impact (downtime, data loss, financial cost)?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What went well during the response?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What should be improved for next time?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What specific changes to systems, policies, or procedures are needed?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Action items with assigned owners and target completion dates</w:t>
      </w:r>
    </w:p>
    <w:p>
      <w:r>
        <w:br w:type="page"/>
      </w:r>
    </w:p>
    <w:p>
      <w:pPr>
        <w:pStyle w:val="Heading1"/>
      </w:pPr>
      <w:r>
        <w:t xml:space="preserve">Section 6: Communication Templates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6B7280"/>
          <w:sz w:val="20"/>
          <w:szCs w:val="20"/>
        </w:rPr>
        <w:t xml:space="preserve">Pre-drafted communications save critical time during an incident. Customize these templates now so they are ready when needed.</w:t>
      </w:r>
    </w:p>
    <w:p>
      <w:pPr>
        <w:pStyle w:val="Heading2"/>
      </w:pPr>
      <w:r>
        <w:t xml:space="preserve">Internal Notification (All Employees)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single" w:color="2B6CB0" w:sz="8"/>
              <w:bottom w:val="none" w:color="FFFFFF" w:sz="0"/>
              <w:right w:val="none" w:color="FFFFFF" w:sz="0"/>
            </w:tcBorders>
            <w:shd w:fill="EBF2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color w:val="0B1D3A"/>
                <w:sz w:val="20"/>
                <w:szCs w:val="20"/>
              </w:rPr>
              <w:t xml:space="preserve">Subject: Important Security Notice — Action Required</w:t>
            </w:r>
          </w:p>
          <w:p>
            <w:pPr>
              <w:spacing w:after="80"/>
            </w:pP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Team,</w:t>
            </w:r>
          </w:p>
          <w:p>
            <w:pPr>
              <w:spacing w:after="80"/>
            </w:pP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We are currently investigating a security incident that was detected on [date]. Our incident response team is actively working to contain and resolve the situation. At this time, [brief description of what employees need to know — e.g., you may experience limited access to certain systems].</w:t>
            </w:r>
          </w:p>
          <w:p>
            <w:pPr>
              <w:spacing w:after="80"/>
            </w:pP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Immediate actions required: [specific instructions — e.g., reset your password immediately, do not click links in suspicious emails, report any unusual activity to IT]. If you believe you have been affected or have relevant information, contact [IT Lead name] at [phone/email] immediately.</w:t>
            </w:r>
          </w:p>
          <w:p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We will provide updates as more information becomes available. Thank you for your cooperation.</w:t>
            </w:r>
          </w:p>
        </w:tc>
      </w:tr>
    </w:tbl>
    <w:p>
      <w:pPr>
        <w:spacing w:before="200" w:after="0"/>
      </w:pPr>
    </w:p>
    <w:p>
      <w:pPr>
        <w:pStyle w:val="Heading2"/>
      </w:pPr>
      <w:r>
        <w:t xml:space="preserve">External Notification (Customers / Partners)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single" w:color="0D7377" w:sz="8"/>
              <w:bottom w:val="none" w:color="FFFFFF" w:sz="0"/>
              <w:right w:val="none" w:color="FFFFFF" w:sz="0"/>
            </w:tcBorders>
            <w:shd w:fill="EBF2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80"/>
            </w:pPr>
            <w:r>
              <w:rPr>
                <w:rFonts w:ascii="Arial" w:cs="Arial" w:eastAsia="Arial" w:hAnsi="Arial"/>
                <w:b/>
                <w:bCs/>
                <w:color w:val="0B1D3A"/>
                <w:sz w:val="20"/>
                <w:szCs w:val="20"/>
              </w:rPr>
              <w:t xml:space="preserve">Subject: Notice of Data Security Incident</w:t>
            </w:r>
          </w:p>
          <w:p>
            <w:pPr>
              <w:spacing w:after="80"/>
            </w:pP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Dear [Customer/Partner Name],</w:t>
            </w:r>
          </w:p>
          <w:p>
            <w:pPr>
              <w:spacing w:after="80"/>
            </w:pP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We are writing to inform you of a security incident that [Company Name] discovered on [date]. We take the protection of your information seriously and want to provide you with the details of what happened, what information was involved, and what steps we are taking.</w:t>
            </w:r>
          </w:p>
          <w:p>
            <w:pPr>
              <w:spacing w:after="80"/>
            </w:pP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What happened: [Brief factual description]. What information was involved: [Types of data]. What we are doing: [Remediation steps]. What you can do: [Recommended protective actions for the recipient].</w:t>
            </w:r>
          </w:p>
          <w:p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For questions, please contact [dedicated phone/email]. We sincerely apologize for any inconvenience.</w:t>
            </w:r>
          </w:p>
        </w:tc>
      </w:tr>
    </w:tbl>
    <w:p>
      <w:pPr>
        <w:spacing w:before="100" w:after="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single" w:color="C53030" w:sz="8"/>
              <w:bottom w:val="none" w:color="FFFFFF" w:sz="0"/>
              <w:right w:val="none" w:color="FFFFFF" w:sz="0"/>
            </w:tcBorders>
            <w:shd w:fill="FEF2F2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color w:val="C53030"/>
                <w:sz w:val="19"/>
                <w:szCs w:val="19"/>
              </w:rPr>
              <w:t xml:space="preserve">Important: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All external communications must be reviewed and approved by Legal Counsel and your insurance carrier's breach coach before distribution. Many cyber insurance policies provide breach notification services — use them.</w:t>
            </w:r>
          </w:p>
        </w:tc>
      </w:tr>
    </w:tbl>
    <w:p>
      <w:r>
        <w:br w:type="page"/>
      </w:r>
    </w:p>
    <w:p>
      <w:pPr>
        <w:pStyle w:val="Heading1"/>
      </w:pPr>
      <w:r>
        <w:t xml:space="preserve">Section 7: Incident Documentation Form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6B7280"/>
          <w:sz w:val="20"/>
          <w:szCs w:val="20"/>
        </w:rPr>
        <w:t xml:space="preserve">Complete this form for every confirmed incident. Accurate documentation is essential for forensic investigation, insurance claims, regulatory reporting, and post-incident review.</w:t>
      </w:r>
    </w:p>
    <w:p>
      <w:pPr>
        <w:pStyle w:val="Heading2"/>
      </w:pPr>
      <w:r>
        <w:t xml:space="preserve">Incident Summary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6160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Incident ID / Ticket #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Date / Time Detected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Date / Time Reported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Reported By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Incident Commander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Severity Level (P1-P4)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Incident Type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Status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</w:tbl>
    <w:p>
      <w:pPr>
        <w:spacing w:before="100" w:after="0"/>
      </w:pPr>
    </w:p>
    <w:p>
      <w:pPr>
        <w:pStyle w:val="Heading2"/>
      </w:pPr>
      <w:r>
        <w:t xml:space="preserve">Incident Type (check all that apply)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Ransomware</w:t>
            </w:r>
          </w:p>
        </w:tc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Phishing / Social Engineering</w:t>
            </w:r>
          </w:p>
        </w:tc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Malware / Virus</w:t>
            </w:r>
          </w:p>
        </w:tc>
      </w:tr>
    </w:tbl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Unauthorized Access</w:t>
            </w:r>
          </w:p>
        </w:tc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Data Breach / Exfiltration</w:t>
            </w:r>
          </w:p>
        </w:tc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Insider Threat</w:t>
            </w:r>
          </w:p>
        </w:tc>
      </w:tr>
    </w:tbl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Denial of Service (DoS)</w:t>
            </w:r>
          </w:p>
        </w:tc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Business Email Compromise</w:t>
            </w:r>
          </w:p>
        </w:tc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Lost / Stolen Device</w:t>
            </w:r>
          </w:p>
        </w:tc>
      </w:tr>
    </w:tbl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Third-Party / Vendor Breach</w:t>
            </w:r>
          </w:p>
        </w:tc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Account Compromise</w:t>
            </w:r>
          </w:p>
        </w:tc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color w:val="9CA3AF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Other: _______________</w:t>
            </w:r>
          </w:p>
        </w:tc>
      </w:tr>
    </w:tbl>
    <w:p>
      <w:pPr>
        <w:spacing w:before="100" w:after="0"/>
      </w:pPr>
    </w:p>
    <w:p>
      <w:pPr>
        <w:pStyle w:val="Heading2"/>
      </w:pPr>
      <w:r>
        <w:t xml:space="preserve">Narrative Description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Provide a detailed factual description of the incident, including how it was discovered, affected systems, user accounts involved, and initial indicators of compromise: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rPr>
          <w:trHeight w:val="2400" w:hRule="atLeast"/>
        </w:trPr>
        <w:tc>
          <w:tcPr>
            <w:tcW w:type="dxa" w:w="9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</w:tr>
    </w:tbl>
    <w:p>
      <w:r>
        <w:br w:type="page"/>
      </w:r>
    </w:p>
    <w:p>
      <w:pPr>
        <w:pStyle w:val="Heading2"/>
      </w:pPr>
      <w:r>
        <w:t xml:space="preserve">Incident Timeline &amp; Actions Log</w:t>
      </w:r>
    </w:p>
    <w:p>
      <w:pPr>
        <w:spacing w:after="160"/>
      </w:pPr>
      <w:r>
        <w:rPr>
          <w:rFonts w:ascii="Arial" w:cs="Arial" w:eastAsia="Arial" w:hAnsi="Arial"/>
          <w:i/>
          <w:iCs/>
          <w:color w:val="6B7280"/>
          <w:sz w:val="20"/>
          <w:szCs w:val="20"/>
        </w:rPr>
        <w:t xml:space="preserve">Record every significant action, decision, and observation with timestamps. This log is critical for forensics, insurance claims, and legal proceedings.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4360"/>
        <w:gridCol w:w="1600"/>
        <w:gridCol w:w="1600"/>
      </w:tblGrid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Date / Time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Action / Observation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Taken By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Status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4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</w:tbl>
    <w:p>
      <w:pPr>
        <w:spacing w:before="200" w:after="0"/>
      </w:pPr>
    </w:p>
    <w:p>
      <w:pPr>
        <w:pStyle w:val="Heading2"/>
      </w:pPr>
      <w:r>
        <w:t xml:space="preserve">Impact Assessment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6160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Systems Affected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Data Types Involved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# of Records / Individuals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Business Downtime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Financial Impact (Est.)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Regulatory Notifications Req.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2F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Customer Notification Req.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Law Enforcement Notified</w:t>
            </w:r>
          </w:p>
        </w:tc>
        <w:tc>
          <w:tcPr>
            <w:tcW w:type="dxa" w:w="63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</w:tbl>
    <w:p>
      <w:r>
        <w:br w:type="page"/>
      </w:r>
    </w:p>
    <w:p>
      <w:pPr>
        <w:pStyle w:val="Heading1"/>
      </w:pPr>
      <w:r>
        <w:t xml:space="preserve">Section 8: Notification Requirements &amp; Deadlines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Timely notification is often legally required and may be a condition of your cyber insurance policy. Use this reference to track notification obligations.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1600"/>
        <w:gridCol w:w="1600"/>
        <w:gridCol w:w="1600"/>
        <w:gridCol w:w="2160"/>
      </w:tblGrid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Entity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Deadline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Method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Date Notified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Contact / Ref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Cyber Insurance Carrier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ASAP / per policy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Phone + email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Breach Coach / Attorney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ASAP (P1/P2)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Phone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FBI / IC3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72 hrs (ransomware)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ic3.gov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State Attorney General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Varies by state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Per state statute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Affected Individuals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30-60 days (varies)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Written notice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HHS (if HIPAA applies)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60 days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HHS portal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Payment Card Brands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Per PCI-DSS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Via acquirer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Business Partners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Per contract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Email / letter</w:t>
            </w:r>
          </w:p>
        </w:tc>
        <w:tc>
          <w:tcPr>
            <w:tcW w:type="dxa" w:w="1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7"/>
                <w:szCs w:val="17"/>
              </w:rPr>
              <w:t xml:space="preserve"> </w:t>
            </w:r>
          </w:p>
        </w:tc>
      </w:tr>
    </w:tbl>
    <w:p>
      <w:pPr>
        <w:spacing w:before="200" w:after="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single" w:color="0D7377" w:sz="8"/>
              <w:bottom w:val="none" w:color="FFFFFF" w:sz="0"/>
              <w:right w:val="none" w:color="FFFFFF" w:sz="0"/>
            </w:tcBorders>
            <w:shd w:fill="EBF2FA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color w:val="0D7377"/>
                <w:sz w:val="20"/>
                <w:szCs w:val="20"/>
              </w:rPr>
              <w:t xml:space="preserve">Cyber Insurance Reminder</w:t>
            </w:r>
          </w:p>
          <w:p>
            <w:r>
              <w:rPr>
                <w:rFonts w:ascii="Arial" w:cs="Arial" w:eastAsia="Arial" w:hAnsi="Arial"/>
                <w:color w:val="1F2937"/>
                <w:sz w:val="19"/>
                <w:szCs w:val="19"/>
              </w:rPr>
              <w:t xml:space="preserve">Contact your carrier before engaging any forensics provider, breach coach, or notification vendor. Most policies require use of pre-approved panel providers. Costs incurred without carrier approval may not be covered. First Underwriters can help you understand your policy's requirements and coordinate the claims process.</w:t>
            </w:r>
          </w:p>
        </w:tc>
      </w:tr>
    </w:tbl>
    <w:p>
      <w:r>
        <w:br w:type="page"/>
      </w:r>
    </w:p>
    <w:p>
      <w:pPr>
        <w:pStyle w:val="Heading1"/>
      </w:pPr>
      <w:r>
        <w:t xml:space="preserve">Section 9: Annual Testing &amp; Maintenance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An untested plan is an unreliable plan. Schedule regular exercises and reviews to keep this document current and your team prepared.</w:t>
      </w:r>
    </w:p>
    <w:p>
      <w:pPr>
        <w:pStyle w:val="Heading2"/>
      </w:pPr>
      <w:r>
        <w:t xml:space="preserve">Testing Schedule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00"/>
        <w:gridCol w:w="1700"/>
        <w:gridCol w:w="2080"/>
        <w:gridCol w:w="2080"/>
      </w:tblGrid>
      <w:tr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Activity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Frequency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Last Completed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Next Due</w:t>
            </w:r>
          </w:p>
        </w:tc>
      </w:tr>
      <w:tr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Tabletop exercise (simulated incident)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Annually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IRT contact information verification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Quarterly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Backup restoration test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Quarterly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External contact validation (insurance, legal, forensics)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Annually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Full plan review and update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Annually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Employee security awareness training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Annually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5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Phishing simulation exercise</w:t>
            </w:r>
          </w:p>
        </w:tc>
        <w:tc>
          <w:tcPr>
            <w:tcW w:type="dxa" w:w="17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Quarterly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08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</w:tbl>
    <w:p>
      <w:pPr>
        <w:spacing w:before="300" w:after="0"/>
      </w:pPr>
    </w:p>
    <w:p>
      <w:pPr>
        <w:pStyle w:val="Heading1"/>
      </w:pPr>
      <w:r>
        <w:t xml:space="preserve">Section 10: Plan Approval &amp; Acknowledgment</w:t>
      </w:r>
    </w:p>
    <w:p>
      <w:pPr>
        <w:spacing w:after="120"/>
      </w:pPr>
      <w:r>
        <w:rPr>
          <w:rFonts w:ascii="Arial" w:cs="Arial" w:eastAsia="Arial" w:hAnsi="Arial"/>
          <w:color w:val="1F2937"/>
          <w:sz w:val="20"/>
          <w:szCs w:val="20"/>
        </w:rPr>
        <w:t xml:space="preserve">This Incident Response Plan has been reviewed and approved by the undersigned. All Incident Response Team members acknowledge that they have received, read, and understand their responsibilities under this plan.</w:t>
      </w:r>
    </w:p>
    <w:p>
      <w:pPr>
        <w:spacing w:before="100" w:after="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400"/>
        <w:gridCol w:w="2400"/>
        <w:gridCol w:w="1960"/>
      </w:tblGrid>
      <w:t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Role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Name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Signature</w:t>
            </w:r>
          </w:p>
        </w:tc>
        <w:tc>
          <w:tcPr>
            <w:tcW w:type="dxa" w:w="1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0B1D3A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Date</w:t>
            </w:r>
          </w:p>
        </w:tc>
      </w:tr>
      <w:tr>
        <w:trPr>
          <w:trHeight w:val="500" w:hRule="atLeast"/>
        </w:trP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CEO / Owner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rPr>
          <w:trHeight w:val="500" w:hRule="atLeast"/>
        </w:trP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Incident Commander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rPr>
          <w:trHeight w:val="500" w:hRule="atLeast"/>
        </w:trP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IT Lead / Security Lead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rPr>
          <w:trHeight w:val="500" w:hRule="atLeast"/>
        </w:trP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Legal Counsel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rPr>
          <w:trHeight w:val="500" w:hRule="atLeast"/>
        </w:trP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HR Representative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  <w:tr>
        <w:trPr>
          <w:trHeight w:val="500" w:hRule="atLeast"/>
        </w:trPr>
        <w:tc>
          <w:tcPr>
            <w:tcW w:type="dxa" w:w="26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1F2937"/>
                <w:sz w:val="18"/>
                <w:szCs w:val="18"/>
              </w:rPr>
              <w:t xml:space="preserve">Communications Lead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  <w:tc>
          <w:tcPr>
            <w:tcW w:type="dxa" w:w="19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0F2F5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1F2937"/>
                <w:sz w:val="18"/>
                <w:szCs w:val="18"/>
              </w:rPr>
              <w:t xml:space="preserve"> </w:t>
            </w:r>
          </w:p>
        </w:tc>
      </w:tr>
    </w:tbl>
    <w:p>
      <w:pPr>
        <w:spacing w:before="400" w:after="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B1D3A" w:val="clear"/>
            <w:tcMar>
              <w:top w:type="dxa" w:w="300"/>
              <w:left w:type="dxa" w:w="400"/>
              <w:bottom w:type="dxa" w:w="300"/>
              <w:right w:type="dxa" w:w="400"/>
            </w:tcMar>
          </w:tcPr>
          <w:p>
            <w:pPr>
              <w:spacing w:after="12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6"/>
                <w:szCs w:val="26"/>
              </w:rPr>
              <w:t xml:space="preserve">Need Help Building Your Incident Response Capability?</w:t>
            </w:r>
          </w:p>
          <w:p>
            <w:pPr>
              <w:spacing w:after="80"/>
              <w:jc w:val="center"/>
            </w:pPr>
            <w:r>
              <w:rPr>
                <w:rFonts w:ascii="Arial" w:cs="Arial" w:eastAsia="Arial" w:hAnsi="Arial"/>
                <w:color w:val="D5E4F7"/>
                <w:sz w:val="19"/>
                <w:szCs w:val="19"/>
              </w:rPr>
              <w:t xml:space="preserve">First Underwriters helps small businesses secure the right cyber liability coverage</w:t>
            </w:r>
          </w:p>
          <w:p>
            <w:pPr>
              <w:spacing w:after="80"/>
              <w:jc w:val="center"/>
            </w:pPr>
            <w:r>
              <w:rPr>
                <w:rFonts w:ascii="Arial" w:cs="Arial" w:eastAsia="Arial" w:hAnsi="Arial"/>
                <w:color w:val="D5E4F7"/>
                <w:sz w:val="19"/>
                <w:szCs w:val="19"/>
              </w:rPr>
              <w:t xml:space="preserve">and build the incident preparedness that carriers require.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>www.firstunderwriters.com</w:t>
            </w:r>
          </w:p>
        </w:tc>
      </w:tr>
    </w:tbl>
    <w:sectPr>
      <w:headerReference w:type="default" r:id="rId6"/>
      <w:footerReference w:type="default" r:id="rId7"/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left"/>
    </w:pPr>
    <w:r>
      <w:rPr>
        <w:rFonts w:ascii="Arial" w:cs="Arial" w:eastAsia="Arial" w:hAnsi="Arial"/>
        <w:color w:val="6B7280"/>
        <w:sz w:val="14"/>
        <w:szCs w:val="14"/>
      </w:rPr>
      <w:t xml:space="preserve">© First Underwriters Insurance Brokers  |  www.firstunderwriters.com</w:t>
    </w:r>
    <w:r>
      <w:rPr>
        <w:rFonts w:ascii="Arial" w:cs="Arial" w:eastAsia="Arial" w:hAnsi="Arial"/>
        <w:color w:val="6B7280"/>
        <w:sz w:val="14"/>
        <w:szCs w:val="14"/>
      </w:rPr>
      <w:t xml:space="preserve">          Page </w:t>
    </w:r>
    <w:r>
      <w:rPr>
        <w:rFonts w:ascii="Arial" w:cs="Arial" w:eastAsia="Arial" w:hAnsi="Arial"/>
        <w:color w:val="6B7280"/>
        <w:sz w:val="14"/>
        <w:szCs w:val="14"/>
      </w:rPr>
      <w:fldChar w:fldCharType="begin"/>
      <w:instrText xml:space="preserve">PAGE</w:instrText>
      <w:fldChar w:fldCharType="separate"/>
      <w:fldChar w:fldCharType="end"/>
    </w:r>
  </w:p>
  <w:p>
    <w:pPr>
      <w:jc w:val="center"/>
    </w:pPr>
    <w:r>
      <w:rPr>
        <w:rFonts w:ascii="Arial" w:cs="Arial" w:eastAsia="Arial" w:hAnsi="Arial"/>
        <w:color w:val="9CA3AF"/>
        <w:sz w:val="12"/>
        <w:szCs w:val="12"/>
      </w:rPr>
      <w:t xml:space="preserve">This template is for informational purposes only and does not constitute legal or cybersecurity advice.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60"/>
      <w:jc w:val="left"/>
    </w:pPr>
    <w:r>
      <w:rPr>
        <w:rFonts w:ascii="Arial" w:cs="Arial" w:eastAsia="Arial" w:hAnsi="Arial"/>
        <w:b/>
        <w:bCs/>
        <w:color w:val="0B1D3A"/>
        <w:sz w:val="16"/>
        <w:szCs w:val="16"/>
      </w:rPr>
      <w:t xml:space="preserve">INCIDENT RESPONSE PLAN TEMPLATE</w:t>
    </w:r>
    <w:r>
      <w:rPr>
        <w:rFonts w:ascii="Arial" w:cs="Arial" w:eastAsia="Arial" w:hAnsi="Arial"/>
        <w:sz w:val="16"/>
        <w:szCs w:val="16"/>
      </w:rPr>
      <w:t xml:space="preserve">     </w:t>
    </w:r>
    <w:r>
      <w:rPr>
        <w:rFonts w:ascii="Arial" w:cs="Arial" w:eastAsia="Arial" w:hAnsi="Arial"/>
        <w:color w:val="6B7280"/>
        <w:sz w:val="16"/>
        <w:szCs w:val="16"/>
      </w:rPr>
      <w:t xml:space="preserve">First Underwriters Insurance Brokers</w:t>
    </w:r>
  </w:p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☐"/>
      <w:lvlJc w:val="left"/>
      <w:pPr>
        <w:ind w:left="720" w:hanging="36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before="300" w:after="200"/>
      <w:outlineLvl w:val="0"/>
    </w:pPr>
    <w:rPr>
      <w:rFonts w:ascii="Arial" w:cs="Arial" w:eastAsia="Arial" w:hAnsi="Arial"/>
      <w:b/>
      <w:bCs/>
      <w:color w:val="0B1D3A"/>
      <w:sz w:val="36"/>
      <w:szCs w:val="36"/>
    </w:rPr>
  </w:style>
  <w:style w:type="paragraph" w:styleId="Heading2">
    <w:name w:val="Heading 2"/>
    <w:basedOn w:val="Normal"/>
    <w:next w:val="Normal"/>
    <w:qFormat/>
    <w:pPr>
      <w:spacing w:before="240" w:after="140"/>
      <w:outlineLvl w:val="1"/>
    </w:pPr>
    <w:rPr>
      <w:rFonts w:ascii="Arial" w:cs="Arial" w:eastAsia="Arial" w:hAnsi="Arial"/>
      <w:b/>
      <w:bCs/>
      <w:color w:val="14305A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Incident Response Plan Template - First Underwriters Insurance Brokers</dc:title>
  <dc:creator>First Underwriters Insurance Brokers</dc:creator>
  <dc:description>Customizable Incident Response Plan Template for Small Businesses</dc:description>
  <cp:lastModifiedBy>Un-named</cp:lastModifiedBy>
  <cp:revision>1</cp:revision>
  <dcterms:created xsi:type="dcterms:W3CDTF">2026-02-04T05:40:41.410Z</dcterms:created>
  <dcterms:modified xsi:type="dcterms:W3CDTF">2026-02-04T05:40:41.411Z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