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0"/>
      </w:pPr>
    </w:p>
    <w:p>
      <w:pPr>
        <w:spacing w:after="6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
        <w:gridCol w:w="9280"/>
      </w:tblGrid>
      <w:tr>
        <w:tc>
          <w:tcPr>
            <w:tcW w:type="dxa" w:w="80"/>
            <w:tcBorders>
              <w:top w:val="none" w:color="FFFFFF" w:sz="0"/>
              <w:left w:val="none" w:color="FFFFFF" w:sz="0"/>
              <w:bottom w:val="none" w:color="FFFFFF" w:sz="0"/>
              <w:right w:val="none" w:color="FFFFFF" w:sz="0"/>
            </w:tcBorders>
            <w:shd w:fill="C8973E" w:val="clear"/>
          </w:tcPr>
          <w:p>
            <w:pPr>
              <w:spacing w:after="0"/>
            </w:pPr>
          </w:p>
        </w:tc>
        <w:tc>
          <w:tcPr>
            <w:tcW w:type="dxa" w:w="9280"/>
            <w:tcBorders>
              <w:top w:val="none" w:color="FFFFFF" w:sz="0"/>
              <w:left w:val="none" w:color="FFFFFF" w:sz="0"/>
              <w:bottom w:val="none" w:color="FFFFFF" w:sz="0"/>
              <w:right w:val="none" w:color="FFFFFF" w:sz="0"/>
            </w:tcBorders>
            <w:shd w:fill="1B2B4B" w:val="clear"/>
            <w:tcMar>
              <w:top w:type="dxa" w:w="400"/>
              <w:left w:type="dxa" w:w="300"/>
              <w:bottom w:type="dxa" w:w="400"/>
              <w:right w:type="dxa" w:w="300"/>
            </w:tcMar>
          </w:tcPr>
          <w:p>
            <w:pPr>
              <w:spacing w:after="80"/>
            </w:pPr>
            <w:r>
              <w:rPr>
                <w:rFonts w:ascii="Arial" w:cs="Arial" w:eastAsia="Arial" w:hAnsi="Arial"/>
                <w:b/>
                <w:bCs/>
                <w:color w:val="FFFFFF"/>
                <w:sz w:val="52"/>
                <w:szCs w:val="52"/>
              </w:rPr>
              <w:t xml:space="preserve">PASSWORD POLICY</w:t>
            </w:r>
          </w:p>
          <w:p>
            <w:pPr>
              <w:spacing w:after="0"/>
            </w:pPr>
            <w:r>
              <w:rPr>
                <w:rFonts w:ascii="Arial" w:cs="Arial" w:eastAsia="Arial" w:hAnsi="Arial"/>
                <w:b/>
                <w:bCs/>
                <w:color w:val="C8973E"/>
                <w:sz w:val="52"/>
                <w:szCs w:val="52"/>
              </w:rPr>
              <w:t xml:space="preserve">TEMPLATE</w:t>
            </w:r>
          </w:p>
        </w:tc>
      </w:tr>
    </w:tbl>
    <w:p>
      <w:pPr>
        <w:spacing w:after="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40" w:hRule="exact"/>
        </w:trPr>
        <w:tc>
          <w:tcPr>
            <w:tcW w:type="dxa" w:w="9360"/>
            <w:tcBorders>
              <w:top w:val="none" w:color="FFFFFF" w:sz="0"/>
              <w:left w:val="none" w:color="FFFFFF" w:sz="0"/>
              <w:bottom w:val="none" w:color="FFFFFF" w:sz="0"/>
              <w:right w:val="none" w:color="FFFFFF" w:sz="0"/>
            </w:tcBorders>
            <w:shd w:fill="C8973E" w:val="clear"/>
          </w:tcPr>
          <w:p>
            <w:pPr>
              <w:spacing w:after="0"/>
            </w:pPr>
          </w:p>
        </w:tc>
      </w:tr>
    </w:tbl>
    <w:p>
      <w:pPr>
        <w:spacing w:after="200"/>
      </w:pPr>
    </w:p>
    <w:p>
      <w:pPr>
        <w:spacing w:after="80"/>
      </w:pPr>
      <w:r>
        <w:rPr>
          <w:rFonts w:ascii="Arial" w:cs="Arial" w:eastAsia="Arial" w:hAnsi="Arial"/>
          <w:b w:val="false"/>
          <w:bCs w:val="false"/>
          <w:i/>
          <w:iCs/>
          <w:color w:val="1B2B4B"/>
          <w:sz w:val="26"/>
          <w:szCs w:val="26"/>
        </w:rPr>
        <w:t xml:space="preserve">Password Security: From Weak Links to Strong Defense</w:t>
      </w:r>
    </w:p>
    <w:p>
      <w:pPr>
        <w:spacing w:after="400"/>
      </w:pPr>
      <w:r>
        <w:rPr>
          <w:rFonts w:ascii="Arial" w:cs="Arial" w:eastAsia="Arial" w:hAnsi="Arial"/>
          <w:color w:val="718096"/>
          <w:sz w:val="22"/>
          <w:szCs w:val="22"/>
        </w:rPr>
        <w:t xml:space="preserve">A Customizable Password and Authentication Policy for Organizations of All Sizes</w:t>
      </w:r>
    </w:p>
    <w:p>
      <w:pPr>
        <w:spacing w:after="40"/>
      </w:pPr>
      <w:r>
        <w:rPr>
          <w:rFonts w:ascii="Arial" w:cs="Arial" w:eastAsia="Arial" w:hAnsi="Arial"/>
          <w:b/>
          <w:bCs/>
          <w:color w:val="C8973E"/>
          <w:sz w:val="20"/>
          <w:szCs w:val="20"/>
        </w:rPr>
        <w:t xml:space="preserve">FIRST UNDERWRITERS INSURANCE BROKERS</w:t>
      </w:r>
    </w:p>
    <w:p>
      <w:pPr>
        <w:spacing w:after="40"/>
      </w:pPr>
      <w:r>
        <w:rPr>
          <w:rFonts w:ascii="Arial" w:cs="Arial" w:eastAsia="Arial" w:hAnsi="Arial"/>
          <w:color w:val="718096"/>
          <w:sz w:val="18"/>
          <w:szCs w:val="18"/>
        </w:rPr>
        <w:t xml:space="preserve">4055 Lake Washington Blvd NE, Suite 100, Kirkland, WA 98033</w:t>
      </w:r>
    </w:p>
    <w:p>
      <w:pPr>
        <w:spacing w:after="400"/>
      </w:pPr>
      <w:r>
        <w:rPr>
          <w:rFonts w:ascii="Arial" w:cs="Arial" w:eastAsia="Arial" w:hAnsi="Arial"/>
          <w:color w:val="718096"/>
          <w:sz w:val="18"/>
          <w:szCs w:val="18"/>
        </w:rPr>
        <w:t xml:space="preserve">(425) 242-5357  |  www.firstunderwriters.com</w:t>
      </w:r>
    </w:p>
    <w:p>
      <w:pPr>
        <w:spacing w:after="160"/>
      </w:pPr>
      <w:r>
        <w:rPr>
          <w:rFonts w:ascii="Arial" w:cs="Arial" w:eastAsia="Arial" w:hAnsi="Arial"/>
          <w:b/>
          <w:bCs/>
          <w:color w:val="2D3748"/>
          <w:sz w:val="22"/>
          <w:szCs w:val="22"/>
        </w:rPr>
        <w:t xml:space="preserve">Organization Name: </w:t>
      </w:r>
      <w:r>
        <w:rPr>
          <w:rFonts w:ascii="Arial" w:cs="Arial" w:eastAsia="Arial" w:hAnsi="Arial"/>
          <w:color w:val="718096"/>
          <w:sz w:val="22"/>
          <w:szCs w:val="22"/>
        </w:rPr>
        <w:t xml:space="preserve">________________________________________</w:t>
      </w:r>
    </w:p>
    <w:p>
      <w:pPr>
        <w:spacing w:after="160"/>
      </w:pPr>
      <w:r>
        <w:rPr>
          <w:rFonts w:ascii="Arial" w:cs="Arial" w:eastAsia="Arial" w:hAnsi="Arial"/>
          <w:b/>
          <w:bCs/>
          <w:color w:val="2D3748"/>
          <w:sz w:val="22"/>
          <w:szCs w:val="22"/>
        </w:rPr>
        <w:t xml:space="preserve">Effective Date: </w:t>
      </w:r>
      <w:r>
        <w:rPr>
          <w:rFonts w:ascii="Arial" w:cs="Arial" w:eastAsia="Arial" w:hAnsi="Arial"/>
          <w:color w:val="718096"/>
          <w:sz w:val="22"/>
          <w:szCs w:val="22"/>
        </w:rPr>
        <w:t xml:space="preserve">________________________________________</w:t>
      </w:r>
    </w:p>
    <w:p>
      <w:pPr>
        <w:spacing w:after="160"/>
      </w:pPr>
      <w:r>
        <w:rPr>
          <w:rFonts w:ascii="Arial" w:cs="Arial" w:eastAsia="Arial" w:hAnsi="Arial"/>
          <w:b/>
          <w:bCs/>
          <w:color w:val="2D3748"/>
          <w:sz w:val="22"/>
          <w:szCs w:val="22"/>
        </w:rPr>
        <w:t xml:space="preserve">Policy Owner: </w:t>
      </w:r>
      <w:r>
        <w:rPr>
          <w:rFonts w:ascii="Arial" w:cs="Arial" w:eastAsia="Arial" w:hAnsi="Arial"/>
          <w:color w:val="718096"/>
          <w:sz w:val="22"/>
          <w:szCs w:val="22"/>
        </w:rPr>
        <w:t xml:space="preserve">________________________________________</w:t>
      </w:r>
    </w:p>
    <w:p>
      <w:pPr>
        <w:spacing w:after="160"/>
      </w:pPr>
      <w:r>
        <w:rPr>
          <w:rFonts w:ascii="Arial" w:cs="Arial" w:eastAsia="Arial" w:hAnsi="Arial"/>
          <w:b/>
          <w:bCs/>
          <w:color w:val="2D3748"/>
          <w:sz w:val="22"/>
          <w:szCs w:val="22"/>
        </w:rPr>
        <w:t xml:space="preserve">Last Reviewed: </w:t>
      </w:r>
      <w:r>
        <w:rPr>
          <w:rFonts w:ascii="Arial" w:cs="Arial" w:eastAsia="Arial" w:hAnsi="Arial"/>
          <w:color w:val="718096"/>
          <w:sz w:val="22"/>
          <w:szCs w:val="22"/>
        </w:rPr>
        <w:t xml:space="preserve">________________________________________</w:t>
      </w:r>
    </w:p>
    <w:p>
      <w:pPr>
        <w:sectPr>
          <w:pgSz w:w="12240" w:h="15840" w:orient="portrait"/>
          <w:pgMar w:top="1440" w:right="1440" w:bottom="1440" w:left="1440" w:header="708" w:footer="708" w:gutter="0"/>
          <w:pgNumType/>
          <w:docGrid w:linePitch="360"/>
        </w:sectPr>
      </w:pPr>
    </w:p>
    <w:p>
      <w:pPr>
        <w:spacing w:after="200"/>
      </w:pPr>
      <w:r>
        <w:rPr>
          <w:rFonts w:ascii="Arial" w:cs="Arial" w:eastAsia="Arial" w:hAnsi="Arial"/>
          <w:b/>
          <w:bCs/>
          <w:color w:val="1B2B4B"/>
          <w:sz w:val="32"/>
          <w:szCs w:val="32"/>
        </w:rPr>
        <w:t xml:space="preserve">Table of Contents</w:t>
      </w:r>
    </w:p>
    <w:sdt>
      <w:sdtPr>
        <w:alias w:val="Table of Contents"/>
      </w:sdtPr>
      <w:sdtContent>
        <w:p>
          <w:r>
            <w:fldChar w:fldCharType="begin" w:dirty="true"/>
            <w:instrText xml:space="preserve">TOC \h \o "1-2"</w:instrText>
            <w:fldChar w:fldCharType="separate"/>
          </w:r>
        </w:p>
        <w:p>
          <w:r>
            <w:fldChar w:fldCharType="end"/>
          </w:r>
        </w:p>
      </w:sdtContent>
    </w:sdt>
    <w:p>
      <w:r>
        <w:br w:type="page"/>
      </w:r>
    </w:p>
    <w:p>
      <w:pPr>
        <w:pStyle w:val="Heading1"/>
        <w:spacing w:before="360" w:after="200"/>
      </w:pPr>
      <w:r>
        <w:rPr>
          <w:rFonts w:ascii="Arial" w:cs="Arial" w:eastAsia="Arial" w:hAnsi="Arial"/>
          <w:b/>
          <w:bCs/>
          <w:color w:val="1B2B4B"/>
          <w:sz w:val="32"/>
          <w:szCs w:val="32"/>
        </w:rPr>
        <w:t xml:space="preserve">1. Document Control</w:t>
      </w:r>
    </w:p>
    <w:p>
      <w:pPr>
        <w:pStyle w:val="Heading2"/>
        <w:spacing w:before="280" w:after="160"/>
      </w:pPr>
      <w:r>
        <w:rPr>
          <w:rFonts w:ascii="Arial" w:cs="Arial" w:eastAsia="Arial" w:hAnsi="Arial"/>
          <w:b/>
          <w:bCs/>
          <w:color w:val="1B2B4B"/>
          <w:sz w:val="26"/>
          <w:szCs w:val="26"/>
        </w:rPr>
        <w:t xml:space="preserve">1.1 Revision History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00"/>
        <w:gridCol w:w="1600"/>
        <w:gridCol w:w="2200"/>
        <w:gridCol w:w="2400"/>
        <w:gridCol w:w="1760"/>
      </w:tblGrid>
      <w:tr>
        <w:tc>
          <w:tcPr>
            <w:tcW w:type="dxa" w:w="14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Version</w:t>
            </w:r>
          </w:p>
        </w:tc>
        <w:tc>
          <w:tcPr>
            <w:tcW w:type="dxa" w:w="16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Date</w:t>
            </w:r>
          </w:p>
        </w:tc>
        <w:tc>
          <w:tcPr>
            <w:tcW w:type="dxa" w:w="22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Author</w:t>
            </w:r>
          </w:p>
        </w:tc>
        <w:tc>
          <w:tcPr>
            <w:tcW w:type="dxa" w:w="24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Changes</w:t>
            </w:r>
          </w:p>
        </w:tc>
        <w:tc>
          <w:tcPr>
            <w:tcW w:type="dxa" w:w="17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Approved By</w:t>
            </w:r>
          </w:p>
        </w:tc>
      </w:tr>
      <w:tr>
        <w:tc>
          <w:tcPr>
            <w:tcW w:type="dxa" w:w="1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1.0</w:t>
            </w:r>
          </w:p>
        </w:tc>
        <w:tc>
          <w:tcPr>
            <w:tcW w:type="dxa" w:w="1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[Date]</w:t>
            </w:r>
          </w:p>
        </w:tc>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[Author Name]</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Initial policy creation</w:t>
            </w:r>
          </w:p>
        </w:tc>
        <w:tc>
          <w:tcPr>
            <w:tcW w:type="dxa" w:w="1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[Approver]</w:t>
            </w:r>
          </w:p>
        </w:tc>
      </w:tr>
      <w:tr>
        <w:tc>
          <w:tcPr>
            <w:tcW w:type="dxa" w:w="1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1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r>
      <w:tr>
        <w:tc>
          <w:tcPr>
            <w:tcW w:type="dxa" w:w="1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1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r>
      <w:tr>
        <w:tc>
          <w:tcPr>
            <w:tcW w:type="dxa" w:w="1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1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r>
    </w:tbl>
    <w:p>
      <w:pPr>
        <w:spacing w:after="200"/>
      </w:pPr>
    </w:p>
    <w:p>
      <w:pPr>
        <w:pStyle w:val="Heading2"/>
        <w:spacing w:before="280" w:after="160"/>
      </w:pPr>
      <w:r>
        <w:rPr>
          <w:rFonts w:ascii="Arial" w:cs="Arial" w:eastAsia="Arial" w:hAnsi="Arial"/>
          <w:b/>
          <w:bCs/>
          <w:color w:val="1B2B4B"/>
          <w:sz w:val="26"/>
          <w:szCs w:val="26"/>
        </w:rPr>
        <w:t xml:space="preserve">1.2 Distribution List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Name / Title</w:t>
            </w:r>
          </w:p>
        </w:tc>
        <w:tc>
          <w:tcPr>
            <w:tcW w:type="dxa" w:w="312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Department</w:t>
            </w:r>
          </w:p>
        </w:tc>
        <w:tc>
          <w:tcPr>
            <w:tcW w:type="dxa" w:w="312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Role in Policy</w:t>
            </w:r>
          </w:p>
        </w:tc>
      </w:tr>
      <w:tr>
        <w:tc>
          <w:tcPr>
            <w:tcW w:type="dxa" w:w="312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IT Security Manager</w:t>
            </w:r>
          </w:p>
        </w:tc>
        <w:tc>
          <w:tcPr>
            <w:tcW w:type="dxa" w:w="312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312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Policy Owner</w:t>
            </w:r>
          </w:p>
        </w:tc>
      </w:tr>
      <w:tr>
        <w:tc>
          <w:tcPr>
            <w:tcW w:type="dxa" w:w="312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CISO / CTO</w:t>
            </w:r>
          </w:p>
        </w:tc>
        <w:tc>
          <w:tcPr>
            <w:tcW w:type="dxa" w:w="312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312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Executive Sponsor</w:t>
            </w:r>
          </w:p>
        </w:tc>
      </w:tr>
      <w:tr>
        <w:tc>
          <w:tcPr>
            <w:tcW w:type="dxa" w:w="312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HR Director</w:t>
            </w:r>
          </w:p>
        </w:tc>
        <w:tc>
          <w:tcPr>
            <w:tcW w:type="dxa" w:w="312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312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Training Coordination</w:t>
            </w:r>
          </w:p>
        </w:tc>
      </w:tr>
      <w:tr>
        <w:tc>
          <w:tcPr>
            <w:tcW w:type="dxa" w:w="312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Compliance Officer</w:t>
            </w:r>
          </w:p>
        </w:tc>
        <w:tc>
          <w:tcPr>
            <w:tcW w:type="dxa" w:w="312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p>
        </w:tc>
        <w:tc>
          <w:tcPr>
            <w:tcW w:type="dxa" w:w="312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Regulatory Oversight</w:t>
            </w:r>
          </w:p>
        </w:tc>
      </w:tr>
    </w:tbl>
    <w:p>
      <w:r>
        <w:br w:type="page"/>
      </w:r>
    </w:p>
    <w:p>
      <w:pPr>
        <w:pStyle w:val="Heading1"/>
        <w:spacing w:before="360" w:after="200"/>
      </w:pPr>
      <w:r>
        <w:rPr>
          <w:rFonts w:ascii="Arial" w:cs="Arial" w:eastAsia="Arial" w:hAnsi="Arial"/>
          <w:b/>
          <w:bCs/>
          <w:color w:val="1B2B4B"/>
          <w:sz w:val="32"/>
          <w:szCs w:val="32"/>
        </w:rPr>
        <w:t xml:space="preserve">2. Purpose and Scope</w:t>
      </w:r>
    </w:p>
    <w:p>
      <w:pPr>
        <w:pStyle w:val="Heading2"/>
        <w:spacing w:before="280" w:after="160"/>
      </w:pPr>
      <w:r>
        <w:rPr>
          <w:rFonts w:ascii="Arial" w:cs="Arial" w:eastAsia="Arial" w:hAnsi="Arial"/>
          <w:b/>
          <w:bCs/>
          <w:color w:val="1B2B4B"/>
          <w:sz w:val="26"/>
          <w:szCs w:val="26"/>
        </w:rPr>
        <w:t xml:space="preserve">2.1 Purpose</w:t>
      </w:r>
    </w:p>
    <w:p>
      <w:pPr>
        <w:spacing w:after="160"/>
      </w:pPr>
      <w:r>
        <w:rPr>
          <w:rFonts w:ascii="Arial" w:cs="Arial" w:eastAsia="Arial" w:hAnsi="Arial"/>
          <w:color w:val="2D3748"/>
          <w:sz w:val="22"/>
          <w:szCs w:val="22"/>
        </w:rPr>
        <w:t xml:space="preserve">This Password Policy establishes the requirements and standards for creating, managing, and protecting passwords and authentication credentials across the organization. The policy exists to protect organizational assets, customer data, and employee information from unauthorized access resulting from weak, compromised, or improperly managed passwords.</w:t>
      </w:r>
    </w:p>
    <w:p>
      <w:pPr>
        <w:pStyle w:val="Heading2"/>
        <w:spacing w:before="280" w:after="160"/>
      </w:pPr>
      <w:r>
        <w:rPr>
          <w:rFonts w:ascii="Arial" w:cs="Arial" w:eastAsia="Arial" w:hAnsi="Arial"/>
          <w:b/>
          <w:bCs/>
          <w:color w:val="1B2B4B"/>
          <w:sz w:val="26"/>
          <w:szCs w:val="26"/>
        </w:rPr>
        <w:t xml:space="preserve">2.2 Scope</w:t>
      </w:r>
    </w:p>
    <w:p>
      <w:pPr>
        <w:spacing w:after="160"/>
      </w:pPr>
      <w:r>
        <w:rPr>
          <w:rFonts w:ascii="Arial" w:cs="Arial" w:eastAsia="Arial" w:hAnsi="Arial"/>
          <w:color w:val="2D3748"/>
          <w:sz w:val="22"/>
          <w:szCs w:val="22"/>
        </w:rPr>
        <w:t xml:space="preserve">This policy applies to:</w:t>
      </w:r>
    </w:p>
    <w:p>
      <w:pPr>
        <w:pStyle w:val="ListParagraph"/>
        <w:numPr>
          <w:ilvl w:val="0"/>
          <w:numId w:val="2"/>
        </w:numPr>
        <w:spacing w:after="80"/>
      </w:pPr>
      <w:r>
        <w:rPr>
          <w:rFonts w:ascii="Arial" w:cs="Arial" w:eastAsia="Arial" w:hAnsi="Arial"/>
          <w:color w:val="2D3748"/>
          <w:sz w:val="22"/>
          <w:szCs w:val="22"/>
        </w:rPr>
        <w:t xml:space="preserve">All employees, contractors, temporary workers, interns, and volunteers who access organizational systems, applications, or data</w:t>
      </w:r>
    </w:p>
    <w:p>
      <w:pPr>
        <w:pStyle w:val="ListParagraph"/>
        <w:numPr>
          <w:ilvl w:val="0"/>
          <w:numId w:val="2"/>
        </w:numPr>
        <w:spacing w:after="80"/>
      </w:pPr>
      <w:r>
        <w:rPr>
          <w:rFonts w:ascii="Arial" w:cs="Arial" w:eastAsia="Arial" w:hAnsi="Arial"/>
          <w:color w:val="2D3748"/>
          <w:sz w:val="22"/>
          <w:szCs w:val="22"/>
        </w:rPr>
        <w:t xml:space="preserve">All system accounts including user accounts, service accounts, administrative accounts, shared or generic accounts, and application credentials</w:t>
      </w:r>
    </w:p>
    <w:p>
      <w:pPr>
        <w:pStyle w:val="ListParagraph"/>
        <w:numPr>
          <w:ilvl w:val="0"/>
          <w:numId w:val="2"/>
        </w:numPr>
        <w:spacing w:after="80"/>
      </w:pPr>
      <w:r>
        <w:rPr>
          <w:rFonts w:ascii="Arial" w:cs="Arial" w:eastAsia="Arial" w:hAnsi="Arial"/>
          <w:color w:val="2D3748"/>
          <w:sz w:val="22"/>
          <w:szCs w:val="22"/>
        </w:rPr>
        <w:t xml:space="preserve">All platforms including on-premises systems, cloud services, SaaS applications, VPN connections, wireless networks, and any third-party tools integrated with organizational data</w:t>
      </w:r>
    </w:p>
    <w:p>
      <w:pPr>
        <w:pStyle w:val="ListParagraph"/>
        <w:numPr>
          <w:ilvl w:val="0"/>
          <w:numId w:val="2"/>
        </w:numPr>
        <w:spacing w:after="80"/>
      </w:pPr>
      <w:r>
        <w:rPr>
          <w:rFonts w:ascii="Arial" w:cs="Arial" w:eastAsia="Arial" w:hAnsi="Arial"/>
          <w:color w:val="2D3748"/>
          <w:sz w:val="22"/>
          <w:szCs w:val="22"/>
        </w:rPr>
        <w:t xml:space="preserve">Both organization-managed devices and personal devices used to access organizational resources under BYOD policies</w:t>
      </w:r>
    </w:p>
    <w:p>
      <w:pPr>
        <w:pStyle w:val="Heading2"/>
        <w:spacing w:before="280" w:after="160"/>
      </w:pPr>
      <w:r>
        <w:rPr>
          <w:rFonts w:ascii="Arial" w:cs="Arial" w:eastAsia="Arial" w:hAnsi="Arial"/>
          <w:b/>
          <w:bCs/>
          <w:color w:val="1B2B4B"/>
          <w:sz w:val="26"/>
          <w:szCs w:val="26"/>
        </w:rPr>
        <w:t xml:space="preserve">2.3 Policy Objectives</w:t>
      </w:r>
    </w:p>
    <w:p>
      <w:pPr>
        <w:pStyle w:val="ListParagraph"/>
        <w:numPr>
          <w:ilvl w:val="0"/>
          <w:numId w:val="3"/>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Reduce credential-based breaches</w:t>
      </w:r>
      <w:r>
        <w:rPr>
          <w:rFonts w:ascii="Arial" w:cs="Arial" w:eastAsia="Arial" w:hAnsi="Arial"/>
          <w:color w:val="2D3748"/>
          <w:sz w:val="22"/>
          <w:szCs w:val="22"/>
        </w:rPr>
        <w:t xml:space="preserve"> by establishing minimum password strength and complexity requirements aligned with current threat intelligence</w:t>
      </w:r>
    </w:p>
    <w:p>
      <w:pPr>
        <w:pStyle w:val="ListParagraph"/>
        <w:numPr>
          <w:ilvl w:val="0"/>
          <w:numId w:val="3"/>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Enforce multi-factor authentication (MFA)</w:t>
      </w:r>
      <w:r>
        <w:rPr>
          <w:rFonts w:ascii="Arial" w:cs="Arial" w:eastAsia="Arial" w:hAnsi="Arial"/>
          <w:color w:val="2D3748"/>
          <w:sz w:val="22"/>
          <w:szCs w:val="22"/>
        </w:rPr>
        <w:t xml:space="preserve"> as the primary defense against credential theft, phishing, and brute-force attacks</w:t>
      </w:r>
    </w:p>
    <w:p>
      <w:pPr>
        <w:pStyle w:val="ListParagraph"/>
        <w:numPr>
          <w:ilvl w:val="0"/>
          <w:numId w:val="3"/>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Eliminate password reuse</w:t>
      </w:r>
      <w:r>
        <w:rPr>
          <w:rFonts w:ascii="Arial" w:cs="Arial" w:eastAsia="Arial" w:hAnsi="Arial"/>
          <w:color w:val="2D3748"/>
          <w:sz w:val="22"/>
          <w:szCs w:val="22"/>
        </w:rPr>
        <w:t xml:space="preserve"> across organizational and personal accounts to contain the blast radius of any single credential compromise</w:t>
      </w:r>
    </w:p>
    <w:p>
      <w:pPr>
        <w:pStyle w:val="ListParagraph"/>
        <w:numPr>
          <w:ilvl w:val="0"/>
          <w:numId w:val="3"/>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Promote password manager adoption</w:t>
      </w:r>
      <w:r>
        <w:rPr>
          <w:rFonts w:ascii="Arial" w:cs="Arial" w:eastAsia="Arial" w:hAnsi="Arial"/>
          <w:color w:val="2D3748"/>
          <w:sz w:val="22"/>
          <w:szCs w:val="22"/>
        </w:rPr>
        <w:t xml:space="preserve"> to enable employees to maintain unique, complex passwords without relying on memory or insecure storage</w:t>
      </w:r>
    </w:p>
    <w:p>
      <w:pPr>
        <w:pStyle w:val="ListParagraph"/>
        <w:numPr>
          <w:ilvl w:val="0"/>
          <w:numId w:val="3"/>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Meet regulatory and insurance requirements</w:t>
      </w:r>
      <w:r>
        <w:rPr>
          <w:rFonts w:ascii="Arial" w:cs="Arial" w:eastAsia="Arial" w:hAnsi="Arial"/>
          <w:color w:val="2D3748"/>
          <w:sz w:val="22"/>
          <w:szCs w:val="22"/>
        </w:rPr>
        <w:t xml:space="preserve"> for authentication controls, including cyber insurance policy conditions, PCI-DSS, HIPAA, SOC 2, and applicable state privacy laws</w:t>
      </w:r>
    </w:p>
    <w:p>
      <w:pPr>
        <w:pStyle w:val="ListParagraph"/>
        <w:numPr>
          <w:ilvl w:val="0"/>
          <w:numId w:val="3"/>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Create a measurable framework</w:t>
      </w:r>
      <w:r>
        <w:rPr>
          <w:rFonts w:ascii="Arial" w:cs="Arial" w:eastAsia="Arial" w:hAnsi="Arial"/>
          <w:color w:val="2D3748"/>
          <w:sz w:val="22"/>
          <w:szCs w:val="22"/>
        </w:rPr>
        <w:t xml:space="preserve"> for tracking password hygiene metrics and demonstrating continuous improvement to auditors and underwriters</w:t>
      </w:r>
    </w:p>
    <w:p>
      <w:r>
        <w:br w:type="page"/>
      </w:r>
    </w:p>
    <w:p>
      <w:pPr>
        <w:pStyle w:val="Heading1"/>
        <w:spacing w:before="360" w:after="200"/>
      </w:pPr>
      <w:r>
        <w:rPr>
          <w:rFonts w:ascii="Arial" w:cs="Arial" w:eastAsia="Arial" w:hAnsi="Arial"/>
          <w:b/>
          <w:bCs/>
          <w:color w:val="1B2B4B"/>
          <w:sz w:val="32"/>
          <w:szCs w:val="32"/>
        </w:rPr>
        <w:t xml:space="preserve">3. Password Requirements</w:t>
      </w:r>
    </w:p>
    <w:p>
      <w:pPr>
        <w:pStyle w:val="Heading2"/>
        <w:spacing w:before="280" w:after="160"/>
      </w:pPr>
      <w:r>
        <w:rPr>
          <w:rFonts w:ascii="Arial" w:cs="Arial" w:eastAsia="Arial" w:hAnsi="Arial"/>
          <w:b/>
          <w:bCs/>
          <w:color w:val="1B2B4B"/>
          <w:sz w:val="26"/>
          <w:szCs w:val="26"/>
        </w:rPr>
        <w:t xml:space="preserve">3.1 Password Strength Standards</w:t>
      </w:r>
    </w:p>
    <w:p>
      <w:pPr>
        <w:spacing w:after="160"/>
      </w:pPr>
      <w:r>
        <w:rPr>
          <w:rFonts w:ascii="Arial" w:cs="Arial" w:eastAsia="Arial" w:hAnsi="Arial"/>
          <w:color w:val="2D3748"/>
          <w:sz w:val="22"/>
          <w:szCs w:val="22"/>
        </w:rPr>
        <w:t xml:space="preserve">The following table defines minimum password requirements by account classification. Organizations should customize these minimums based on their risk profile, regulatory obligations, and cyber insurance policy conditions.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1800"/>
        <w:gridCol w:w="1800"/>
        <w:gridCol w:w="1800"/>
        <w:gridCol w:w="1760"/>
      </w:tblGrid>
      <w:tr>
        <w:tc>
          <w:tcPr>
            <w:tcW w:type="dxa" w:w="22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Requirement</w:t>
            </w:r>
          </w:p>
        </w:tc>
        <w:tc>
          <w:tcPr>
            <w:tcW w:type="dxa" w:w="18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Standard User</w:t>
            </w:r>
          </w:p>
        </w:tc>
        <w:tc>
          <w:tcPr>
            <w:tcW w:type="dxa" w:w="18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Privileged / Admin</w:t>
            </w:r>
          </w:p>
        </w:tc>
        <w:tc>
          <w:tcPr>
            <w:tcW w:type="dxa" w:w="18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Service Account</w:t>
            </w:r>
          </w:p>
        </w:tc>
        <w:tc>
          <w:tcPr>
            <w:tcW w:type="dxa" w:w="17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Shared / Generic</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Minimum Length</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14 characters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20 characters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24 characters</w:t>
            </w:r>
          </w:p>
        </w:tc>
        <w:tc>
          <w:tcPr>
            <w:tcW w:type="dxa" w:w="1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16 characters</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Complexity</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 of 4 character types</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4 of 4 character types</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Full randomized</w:t>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 of 4 character types</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Maximum Age</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365 days*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180 days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365 days</w:t>
            </w:r>
          </w:p>
        </w:tc>
        <w:tc>
          <w:tcPr>
            <w:tcW w:type="dxa" w:w="1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90 days</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History (Reuse)</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Last 12 passwords</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Last 24 passwords</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N/A (always unique)</w:t>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Last 12 passwords</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Lockout Threshold</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10 failed attempts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5 failed attempts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 failed attempts</w:t>
            </w:r>
          </w:p>
        </w:tc>
        <w:tc>
          <w:tcPr>
            <w:tcW w:type="dxa" w:w="1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5 failed attempts</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Lockout Duration</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15 minutes</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30 min + admin review</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Permanent (manual)</w:t>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30 minutes</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MFA Required</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(hardware key)</w:t>
            </w:r>
          </w:p>
        </w:tc>
        <w:tc>
          <w:tcPr>
            <w:tcW w:type="dxa" w:w="1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N/A (certificate)</w:t>
            </w:r>
          </w:p>
        </w:tc>
        <w:tc>
          <w:tcPr>
            <w:tcW w:type="dxa" w:w="1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Password Manager</w:t>
            </w:r>
            <w:r>
              <w:rPr>
                <w:rFonts w:ascii="Arial" w:cs="Arial" w:eastAsia="Arial" w:hAnsi="Arial"/>
                <w:color w:val="2D3748"/>
                <w:sz w:val="22"/>
                <w:szCs w:val="22"/>
              </w:rPr>
              <w:t xml:space="preserve"/>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Required</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Required</w:t>
            </w:r>
          </w:p>
        </w:tc>
        <w:tc>
          <w:tcPr>
            <w:tcW w:type="dxa" w:w="1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Vault managed</w:t>
            </w:r>
          </w:p>
        </w:tc>
        <w:tc>
          <w:tcPr>
            <w:tcW w:type="dxa" w:w="1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Required</w:t>
            </w:r>
          </w:p>
        </w:tc>
      </w:tr>
    </w:tbl>
    <w:p>
      <w:pPr>
        <w:spacing w:after="80"/>
      </w:pPr>
    </w:p>
    <w:p>
      <w:pPr>
        <w:spacing w:after="160"/>
      </w:pPr>
      <w:r>
        <w:rPr>
          <w:rFonts w:ascii="Arial" w:cs="Arial" w:eastAsia="Arial" w:hAnsi="Arial"/>
          <w:color w:val="718096"/>
          <w:sz w:val="20"/>
          <w:szCs w:val="20"/>
        </w:rPr>
        <w:t xml:space="preserve">*NIST SP 800-63B recommends removing periodic password expiration when passwords meet minimum length requirements and the organization has breach-detection monitoring in place. Organizations with mature security programs may extend standard user password expiration to "no expiration" with compensating controls.</w:t>
      </w:r>
    </w:p>
    <w:p>
      <w:pPr>
        <w:spacing w:after="120"/>
      </w:pPr>
    </w:p>
    <w:p>
      <w:r>
        <w:br w:type="page"/>
      </w:r>
    </w:p>
    <w:p>
      <w:pPr>
        <w:pStyle w:val="Heading2"/>
        <w:spacing w:before="280" w:after="160"/>
      </w:pPr>
      <w:r>
        <w:rPr>
          <w:rFonts w:ascii="Arial" w:cs="Arial" w:eastAsia="Arial" w:hAnsi="Arial"/>
          <w:b/>
          <w:bCs/>
          <w:color w:val="1B2B4B"/>
          <w:sz w:val="26"/>
          <w:szCs w:val="26"/>
        </w:rPr>
        <w:t xml:space="preserve">3.2 Password Composition Rules</w:t>
      </w:r>
    </w:p>
    <w:p>
      <w:pPr>
        <w:spacing w:after="160"/>
      </w:pPr>
      <w:r>
        <w:rPr>
          <w:rFonts w:ascii="Arial" w:cs="Arial" w:eastAsia="Arial" w:hAnsi="Arial"/>
          <w:color w:val="2D3748"/>
          <w:sz w:val="22"/>
          <w:szCs w:val="22"/>
        </w:rPr>
        <w:t xml:space="preserve">Character types for complexity requirements:</w:t>
      </w:r>
    </w:p>
    <w:p>
      <w:pPr>
        <w:pStyle w:val="ListParagraph"/>
        <w:numPr>
          <w:ilvl w:val="0"/>
          <w:numId w:val="4"/>
        </w:numPr>
        <w:spacing w:after="60"/>
      </w:pPr>
      <w:r>
        <w:rPr>
          <w:rFonts w:ascii="Arial" w:cs="Arial" w:eastAsia="Arial" w:hAnsi="Arial"/>
          <w:color w:val="2D3748"/>
          <w:sz w:val="22"/>
          <w:szCs w:val="22"/>
        </w:rPr>
        <w:t xml:space="preserve"/>
      </w:r>
      <w:r>
        <w:rPr>
          <w:rFonts w:ascii="Arial" w:cs="Arial" w:eastAsia="Arial" w:hAnsi="Arial"/>
          <w:b/>
          <w:bCs/>
          <w:color w:val="2D3748"/>
          <w:sz w:val="22"/>
          <w:szCs w:val="22"/>
        </w:rPr>
        <w:t xml:space="preserve">Uppercase letters:</w:t>
      </w:r>
      <w:r>
        <w:rPr>
          <w:rFonts w:ascii="Arial" w:cs="Arial" w:eastAsia="Arial" w:hAnsi="Arial"/>
          <w:color w:val="2D3748"/>
          <w:sz w:val="22"/>
          <w:szCs w:val="22"/>
        </w:rPr>
        <w:t xml:space="preserve"> A–Z</w:t>
      </w:r>
    </w:p>
    <w:p>
      <w:pPr>
        <w:pStyle w:val="ListParagraph"/>
        <w:numPr>
          <w:ilvl w:val="0"/>
          <w:numId w:val="4"/>
        </w:numPr>
        <w:spacing w:after="60"/>
      </w:pPr>
      <w:r>
        <w:rPr>
          <w:rFonts w:ascii="Arial" w:cs="Arial" w:eastAsia="Arial" w:hAnsi="Arial"/>
          <w:color w:val="2D3748"/>
          <w:sz w:val="22"/>
          <w:szCs w:val="22"/>
        </w:rPr>
        <w:t xml:space="preserve"/>
      </w:r>
      <w:r>
        <w:rPr>
          <w:rFonts w:ascii="Arial" w:cs="Arial" w:eastAsia="Arial" w:hAnsi="Arial"/>
          <w:b/>
          <w:bCs/>
          <w:color w:val="2D3748"/>
          <w:sz w:val="22"/>
          <w:szCs w:val="22"/>
        </w:rPr>
        <w:t xml:space="preserve">Lowercase letters:</w:t>
      </w:r>
      <w:r>
        <w:rPr>
          <w:rFonts w:ascii="Arial" w:cs="Arial" w:eastAsia="Arial" w:hAnsi="Arial"/>
          <w:color w:val="2D3748"/>
          <w:sz w:val="22"/>
          <w:szCs w:val="22"/>
        </w:rPr>
        <w:t xml:space="preserve"> a–z</w:t>
      </w:r>
    </w:p>
    <w:p>
      <w:pPr>
        <w:pStyle w:val="ListParagraph"/>
        <w:numPr>
          <w:ilvl w:val="0"/>
          <w:numId w:val="4"/>
        </w:numPr>
        <w:spacing w:after="60"/>
      </w:pPr>
      <w:r>
        <w:rPr>
          <w:rFonts w:ascii="Arial" w:cs="Arial" w:eastAsia="Arial" w:hAnsi="Arial"/>
          <w:color w:val="2D3748"/>
          <w:sz w:val="22"/>
          <w:szCs w:val="22"/>
        </w:rPr>
        <w:t xml:space="preserve"/>
      </w:r>
      <w:r>
        <w:rPr>
          <w:rFonts w:ascii="Arial" w:cs="Arial" w:eastAsia="Arial" w:hAnsi="Arial"/>
          <w:b/>
          <w:bCs/>
          <w:color w:val="2D3748"/>
          <w:sz w:val="22"/>
          <w:szCs w:val="22"/>
        </w:rPr>
        <w:t xml:space="preserve">Numerals:</w:t>
      </w:r>
      <w:r>
        <w:rPr>
          <w:rFonts w:ascii="Arial" w:cs="Arial" w:eastAsia="Arial" w:hAnsi="Arial"/>
          <w:color w:val="2D3748"/>
          <w:sz w:val="22"/>
          <w:szCs w:val="22"/>
        </w:rPr>
        <w:t xml:space="preserve"> 0–9</w:t>
      </w:r>
    </w:p>
    <w:p>
      <w:pPr>
        <w:pStyle w:val="ListParagraph"/>
        <w:numPr>
          <w:ilvl w:val="0"/>
          <w:numId w:val="4"/>
        </w:numPr>
        <w:spacing w:after="6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Special characters:</w:t>
      </w:r>
      <w:r>
        <w:rPr>
          <w:rFonts w:ascii="Arial" w:cs="Arial" w:eastAsia="Arial" w:hAnsi="Arial"/>
          <w:color w:val="2D3748"/>
          <w:sz w:val="22"/>
          <w:szCs w:val="22"/>
        </w:rPr>
        <w:t xml:space="preserve"> ! @ # $ % ^ &amp; * ( ) - _ = + [ ] { } | ; : ' " , . &lt; &gt; ? / ` ~</w:t>
      </w:r>
    </w:p>
    <w:p>
      <w:pPr>
        <w:spacing w:after="80"/>
      </w:pPr>
    </w:p>
    <w:p>
      <w:pPr>
        <w:spacing w:before="200" w:after="120"/>
      </w:pPr>
      <w:r>
        <w:rPr>
          <w:rFonts w:ascii="Arial" w:cs="Arial" w:eastAsia="Arial" w:hAnsi="Arial"/>
          <w:b/>
          <w:bCs/>
          <w:color w:val="C8973E"/>
          <w:sz w:val="22"/>
          <w:szCs w:val="22"/>
        </w:rPr>
        <w:t xml:space="preserve">Passphrases (Recommended)</w:t>
      </w:r>
    </w:p>
    <w:p>
      <w:pPr>
        <w:spacing w:after="160"/>
      </w:pPr>
      <w:r>
        <w:rPr>
          <w:rFonts w:ascii="Arial" w:cs="Arial" w:eastAsia="Arial" w:hAnsi="Arial"/>
          <w:color w:val="2D3748"/>
          <w:sz w:val="22"/>
          <w:szCs w:val="22"/>
        </w:rPr>
        <w:t xml:space="preserve">The organization strongly encourages the use of passphrases—sequences of four or more unrelated words—as the preferred password format. Passphrases are easier to remember, harder to crack, and naturally meet length requirements. Example format: "correct-horse-battery-staple" (use unique, unrelated words with separators).</w:t>
      </w:r>
    </w:p>
    <w:p>
      <w:pPr>
        <w:spacing w:before="200" w:after="120"/>
      </w:pPr>
      <w:r>
        <w:rPr>
          <w:rFonts w:ascii="Arial" w:cs="Arial" w:eastAsia="Arial" w:hAnsi="Arial"/>
          <w:b/>
          <w:bCs/>
          <w:color w:val="C8973E"/>
          <w:sz w:val="22"/>
          <w:szCs w:val="22"/>
        </w:rPr>
        <w:t xml:space="preserve">Prohibited Password Patterns</w:t>
      </w:r>
    </w:p>
    <w:p>
      <w:pPr>
        <w:spacing w:after="160"/>
      </w:pPr>
      <w:r>
        <w:rPr>
          <w:rFonts w:ascii="Arial" w:cs="Arial" w:eastAsia="Arial" w:hAnsi="Arial"/>
          <w:color w:val="2D3748"/>
          <w:sz w:val="22"/>
          <w:szCs w:val="22"/>
        </w:rPr>
        <w:t xml:space="preserve">The following patterns are explicitly prohibited and will be rejected by system controls where technically feasible:</w:t>
      </w:r>
    </w:p>
    <w:p>
      <w:pPr>
        <w:pStyle w:val="ListParagraph"/>
        <w:numPr>
          <w:ilvl w:val="0"/>
          <w:numId w:val="5"/>
        </w:numPr>
        <w:spacing w:after="80"/>
      </w:pPr>
      <w:r>
        <w:rPr>
          <w:rFonts w:ascii="Arial" w:cs="Arial" w:eastAsia="Arial" w:hAnsi="Arial"/>
          <w:color w:val="2D3748"/>
          <w:sz w:val="22"/>
          <w:szCs w:val="22"/>
        </w:rPr>
        <w:t xml:space="preserve">Passwords containing the user’s username, email address, full name, or employee ID</w:t>
      </w:r>
    </w:p>
    <w:p>
      <w:pPr>
        <w:pStyle w:val="ListParagraph"/>
        <w:numPr>
          <w:ilvl w:val="0"/>
          <w:numId w:val="5"/>
        </w:numPr>
        <w:spacing w:after="80"/>
      </w:pPr>
      <w:r>
        <w:rPr>
          <w:rFonts w:ascii="Arial" w:cs="Arial" w:eastAsia="Arial" w:hAnsi="Arial"/>
          <w:color w:val="2D3748"/>
          <w:sz w:val="22"/>
          <w:szCs w:val="22"/>
        </w:rPr>
        <w:t xml:space="preserve">Passwords matching entries on the organization’s banned password list (derived from common breach databases such as Have I Been Pwned and the NCSC’s PwnedPasswords list)</w:t>
      </w:r>
    </w:p>
    <w:p>
      <w:pPr>
        <w:pStyle w:val="ListParagraph"/>
        <w:numPr>
          <w:ilvl w:val="0"/>
          <w:numId w:val="5"/>
        </w:numPr>
        <w:spacing w:after="80"/>
      </w:pPr>
      <w:r>
        <w:rPr>
          <w:rFonts w:ascii="Arial" w:cs="Arial" w:eastAsia="Arial" w:hAnsi="Arial"/>
          <w:color w:val="2D3748"/>
          <w:sz w:val="22"/>
          <w:szCs w:val="22"/>
        </w:rPr>
        <w:t xml:space="preserve">Sequential characters (abc123, qwerty, 123456) or repeated characters (aaaa1111)</w:t>
      </w:r>
    </w:p>
    <w:p>
      <w:pPr>
        <w:pStyle w:val="ListParagraph"/>
        <w:numPr>
          <w:ilvl w:val="0"/>
          <w:numId w:val="5"/>
        </w:numPr>
        <w:spacing w:after="80"/>
      </w:pPr>
      <w:r>
        <w:rPr>
          <w:rFonts w:ascii="Arial" w:cs="Arial" w:eastAsia="Arial" w:hAnsi="Arial"/>
          <w:color w:val="2D3748"/>
          <w:sz w:val="22"/>
          <w:szCs w:val="22"/>
        </w:rPr>
        <w:t xml:space="preserve">Dictionary words used alone, even with simple character substitutions (e.g., P@ssw0rd)</w:t>
      </w:r>
    </w:p>
    <w:p>
      <w:pPr>
        <w:pStyle w:val="ListParagraph"/>
        <w:numPr>
          <w:ilvl w:val="0"/>
          <w:numId w:val="5"/>
        </w:numPr>
        <w:spacing w:after="80"/>
      </w:pPr>
      <w:r>
        <w:rPr>
          <w:rFonts w:ascii="Arial" w:cs="Arial" w:eastAsia="Arial" w:hAnsi="Arial"/>
          <w:color w:val="2D3748"/>
          <w:sz w:val="22"/>
          <w:szCs w:val="22"/>
        </w:rPr>
        <w:t xml:space="preserve">Passwords based on publicly available personal information (birthdate, pet names, sports teams, addresses)</w:t>
      </w:r>
    </w:p>
    <w:p>
      <w:r>
        <w:br w:type="page"/>
      </w:r>
    </w:p>
    <w:p>
      <w:pPr>
        <w:pStyle w:val="Heading1"/>
        <w:spacing w:before="360" w:after="200"/>
      </w:pPr>
      <w:r>
        <w:rPr>
          <w:rFonts w:ascii="Arial" w:cs="Arial" w:eastAsia="Arial" w:hAnsi="Arial"/>
          <w:b/>
          <w:bCs/>
          <w:color w:val="1B2B4B"/>
          <w:sz w:val="32"/>
          <w:szCs w:val="32"/>
        </w:rPr>
        <w:t xml:space="preserve">4. Multi-Factor Authentication (MFA)</w:t>
      </w:r>
    </w:p>
    <w:p>
      <w:pPr>
        <w:pStyle w:val="Heading2"/>
        <w:spacing w:before="280" w:after="160"/>
      </w:pPr>
      <w:r>
        <w:rPr>
          <w:rFonts w:ascii="Arial" w:cs="Arial" w:eastAsia="Arial" w:hAnsi="Arial"/>
          <w:b/>
          <w:bCs/>
          <w:color w:val="1B2B4B"/>
          <w:sz w:val="26"/>
          <w:szCs w:val="26"/>
        </w:rPr>
        <w:t xml:space="preserve">4.1 MFA Requirements</w:t>
      </w:r>
    </w:p>
    <w:p>
      <w:pPr>
        <w:spacing w:after="160"/>
      </w:pPr>
      <w:r>
        <w:rPr>
          <w:rFonts w:ascii="Arial" w:cs="Arial" w:eastAsia="Arial" w:hAnsi="Arial"/>
          <w:color w:val="2D3748"/>
          <w:sz w:val="22"/>
          <w:szCs w:val="22"/>
        </w:rPr>
        <w:t xml:space="preserve">Multi-factor authentication is mandatory for all user accounts. MFA provides the single most effective defense against credential-based attacks, including phishing, credential stuffing, and brute-force attempts. Organizations should implement MFA universally and treat any exceptions as documented risk acceptances requiring executive approval.</w:t>
      </w:r>
    </w:p>
    <w:p>
      <w:pPr>
        <w:spacing w:before="200" w:after="120"/>
      </w:pPr>
      <w:r>
        <w:rPr>
          <w:rFonts w:ascii="Arial" w:cs="Arial" w:eastAsia="Arial" w:hAnsi="Arial"/>
          <w:b/>
          <w:bCs/>
          <w:color w:val="C8973E"/>
          <w:sz w:val="22"/>
          <w:szCs w:val="22"/>
        </w:rPr>
        <w:t xml:space="preserve">MFA Coverage Requirements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2400"/>
        <w:gridCol w:w="3760"/>
      </w:tblGrid>
      <w:tr>
        <w:tc>
          <w:tcPr>
            <w:tcW w:type="dxa" w:w="32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Access Point</w:t>
            </w:r>
          </w:p>
        </w:tc>
        <w:tc>
          <w:tcPr>
            <w:tcW w:type="dxa" w:w="24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MFA Required</w:t>
            </w:r>
          </w:p>
        </w:tc>
        <w:tc>
          <w:tcPr>
            <w:tcW w:type="dxa" w:w="37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Acceptable Methods</w:t>
            </w:r>
          </w:p>
        </w:tc>
      </w:tr>
      <w:tr>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Email (Microsoft 365 / Google Workspace)</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 All users</w:t>
            </w:r>
          </w:p>
        </w:tc>
        <w:tc>
          <w:tcPr>
            <w:tcW w:type="dxa" w:w="3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Authenticator app, hardware key, push notification</w:t>
            </w:r>
          </w:p>
        </w:tc>
      </w:tr>
      <w:tr>
        <w:tc>
          <w:tcPr>
            <w:tcW w:type="dxa" w:w="3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VPN / Remote access</w:t>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 All users</w:t>
            </w:r>
          </w:p>
        </w:tc>
        <w:tc>
          <w:tcPr>
            <w:tcW w:type="dxa" w:w="3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Hardware key (preferred), authenticator app</w:t>
            </w:r>
          </w:p>
        </w:tc>
      </w:tr>
      <w:tr>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Cloud platforms (AWS, Azure, GCP)</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 All users</w:t>
            </w:r>
          </w:p>
        </w:tc>
        <w:tc>
          <w:tcPr>
            <w:tcW w:type="dxa" w:w="3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Hardware key required for admin; authenticator for users</w:t>
            </w:r>
          </w:p>
        </w:tc>
      </w:tr>
      <w:tr>
        <w:tc>
          <w:tcPr>
            <w:tcW w:type="dxa" w:w="3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SaaS applications (CRM, ERP, HR)</w:t>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 All users</w:t>
            </w:r>
          </w:p>
        </w:tc>
        <w:tc>
          <w:tcPr>
            <w:tcW w:type="dxa" w:w="3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Authenticator app, SSO with MFA at identity provider</w:t>
            </w:r>
          </w:p>
        </w:tc>
      </w:tr>
      <w:tr>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Administrative / privileged access</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 Always</w:t>
            </w:r>
          </w:p>
        </w:tc>
        <w:tc>
          <w:tcPr>
            <w:tcW w:type="dxa" w:w="3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Hardware security key (FIDO2/WebAuthn) required</w:t>
            </w:r>
          </w:p>
        </w:tc>
      </w:tr>
      <w:tr>
        <w:tc>
          <w:tcPr>
            <w:tcW w:type="dxa" w:w="3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Wireless network (WPA-Enterprise)</w:t>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Certificate-based</w:t>
            </w:r>
          </w:p>
        </w:tc>
        <w:tc>
          <w:tcPr>
            <w:tcW w:type="dxa" w:w="3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802.1X with certificate authentication</w:t>
            </w:r>
          </w:p>
        </w:tc>
      </w:tr>
      <w:tr>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Physical access (server rooms, data center)</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Yes – Badge + PIN</w:t>
            </w:r>
          </w:p>
        </w:tc>
        <w:tc>
          <w:tcPr>
            <w:tcW w:type="dxa" w:w="3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Smart badge with PIN or biometric</w:t>
            </w:r>
          </w:p>
        </w:tc>
      </w:tr>
    </w:tbl>
    <w:p>
      <w:pPr>
        <w:spacing w:after="160"/>
      </w:pPr>
    </w:p>
    <w:p>
      <w:r>
        <w:br w:type="page"/>
      </w:r>
    </w:p>
    <w:p>
      <w:pPr>
        <w:pStyle w:val="Heading2"/>
        <w:spacing w:before="280" w:after="160"/>
      </w:pPr>
      <w:r>
        <w:rPr>
          <w:rFonts w:ascii="Arial" w:cs="Arial" w:eastAsia="Arial" w:hAnsi="Arial"/>
          <w:b/>
          <w:bCs/>
          <w:color w:val="1B2B4B"/>
          <w:sz w:val="26"/>
          <w:szCs w:val="26"/>
        </w:rPr>
        <w:t xml:space="preserve">4.2 Approved MFA Methods (Ranked by Security)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0"/>
        <w:gridCol w:w="2400"/>
        <w:gridCol w:w="3160"/>
        <w:gridCol w:w="3200"/>
      </w:tblGrid>
      <w:tr>
        <w:tc>
          <w:tcPr>
            <w:tcW w:type="dxa" w:w="6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Tier</w:t>
            </w:r>
          </w:p>
        </w:tc>
        <w:tc>
          <w:tcPr>
            <w:tcW w:type="dxa" w:w="24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Method</w:t>
            </w:r>
          </w:p>
        </w:tc>
        <w:tc>
          <w:tcPr>
            <w:tcW w:type="dxa" w:w="31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Use Case</w:t>
            </w:r>
          </w:p>
        </w:tc>
        <w:tc>
          <w:tcPr>
            <w:tcW w:type="dxa" w:w="32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Notes</w:t>
            </w:r>
          </w:p>
        </w:tc>
      </w:tr>
      <w:tr>
        <w:tc>
          <w:tcPr>
            <w:tcW w:type="dxa" w:w="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Hardware security key (FIDO2)</w:t>
            </w:r>
          </w:p>
        </w:tc>
        <w:tc>
          <w:tcPr>
            <w:tcW w:type="dxa" w:w="3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All privileged accounts, executives</w:t>
            </w:r>
          </w:p>
        </w:tc>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Phishing-resistant; YubiKey, Titan, or equivalent</w:t>
            </w:r>
          </w:p>
        </w:tc>
      </w:tr>
      <w:tr>
        <w:tc>
          <w:tcPr>
            <w:tcW w:type="dxa" w:w="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2</w:t>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Authenticator app (TOTP)</w:t>
            </w:r>
          </w:p>
        </w:tc>
        <w:tc>
          <w:tcPr>
            <w:tcW w:type="dxa" w:w="3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Standard user accounts</w:t>
            </w:r>
          </w:p>
        </w:tc>
        <w:tc>
          <w:tcPr>
            <w:tcW w:type="dxa" w:w="3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Microsoft Authenticator, Google Authenticator, Duo</w:t>
            </w:r>
          </w:p>
        </w:tc>
      </w:tr>
      <w:tr>
        <w:tc>
          <w:tcPr>
            <w:tcW w:type="dxa" w:w="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3</w:t>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Push notification (verified)</w:t>
            </w:r>
          </w:p>
        </w:tc>
        <w:tc>
          <w:tcPr>
            <w:tcW w:type="dxa" w:w="3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Standard user accounts</w:t>
            </w:r>
          </w:p>
        </w:tc>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Number-matching push required; simple approve/deny is not acceptable</w:t>
            </w:r>
          </w:p>
        </w:tc>
      </w:tr>
      <w:tr>
        <w:tc>
          <w:tcPr>
            <w:tcW w:type="dxa" w:w="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SMS / voice OTP</w:t>
            </w:r>
          </w:p>
        </w:tc>
        <w:tc>
          <w:tcPr>
            <w:tcW w:type="dxa" w:w="3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Not approved</w:t>
            </w:r>
          </w:p>
        </w:tc>
        <w:tc>
          <w:tcPr>
            <w:tcW w:type="dxa" w:w="3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Vulnerable to SIM swap, interception; do not use for new deployments</w:t>
            </w:r>
          </w:p>
        </w:tc>
      </w:tr>
      <w:tr>
        <w:tc>
          <w:tcPr>
            <w:tcW w:type="dxa" w:w="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Email OTP</w:t>
            </w:r>
          </w:p>
        </w:tc>
        <w:tc>
          <w:tcPr>
            <w:tcW w:type="dxa" w:w="3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Not approved</w:t>
            </w:r>
          </w:p>
        </w:tc>
        <w:tc>
          <w:tcPr>
            <w:tcW w:type="dxa" w:w="3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Circular dependency; if email is compromised, MFA is bypassed</w:t>
            </w:r>
          </w:p>
        </w:tc>
      </w:tr>
    </w:tbl>
    <w:p>
      <w:pPr>
        <w:spacing w:after="160"/>
      </w:pPr>
    </w:p>
    <w:p>
      <w:pPr>
        <w:pStyle w:val="Heading2"/>
        <w:spacing w:before="280" w:after="160"/>
      </w:pPr>
      <w:r>
        <w:rPr>
          <w:rFonts w:ascii="Arial" w:cs="Arial" w:eastAsia="Arial" w:hAnsi="Arial"/>
          <w:b/>
          <w:bCs/>
          <w:color w:val="1B2B4B"/>
          <w:sz w:val="26"/>
          <w:szCs w:val="26"/>
        </w:rPr>
        <w:t xml:space="preserve">4.3 MFA Exceptions</w:t>
      </w:r>
    </w:p>
    <w:p>
      <w:pPr>
        <w:spacing w:after="160"/>
      </w:pPr>
      <w:r>
        <w:rPr>
          <w:rFonts w:ascii="Arial" w:cs="Arial" w:eastAsia="Arial" w:hAnsi="Arial"/>
          <w:color w:val="2D3748"/>
          <w:sz w:val="22"/>
          <w:szCs w:val="22"/>
        </w:rPr>
        <w:t xml:space="preserve">Any system or user exempt from MFA requirements must have a documented exception approved by the CISO or IT Security Manager. Exceptions require:</w:t>
      </w:r>
    </w:p>
    <w:p>
      <w:pPr>
        <w:pStyle w:val="ListParagraph"/>
        <w:numPr>
          <w:ilvl w:val="0"/>
          <w:numId w:val="6"/>
        </w:numPr>
        <w:spacing w:after="80"/>
      </w:pPr>
      <w:r>
        <w:rPr>
          <w:rFonts w:ascii="Arial" w:cs="Arial" w:eastAsia="Arial" w:hAnsi="Arial"/>
          <w:color w:val="2D3748"/>
          <w:sz w:val="22"/>
          <w:szCs w:val="22"/>
        </w:rPr>
        <w:t xml:space="preserve">Written risk assessment identifying the specific threat exposure created by the exception</w:t>
      </w:r>
    </w:p>
    <w:p>
      <w:pPr>
        <w:pStyle w:val="ListParagraph"/>
        <w:numPr>
          <w:ilvl w:val="0"/>
          <w:numId w:val="6"/>
        </w:numPr>
        <w:spacing w:after="80"/>
      </w:pPr>
      <w:r>
        <w:rPr>
          <w:rFonts w:ascii="Arial" w:cs="Arial" w:eastAsia="Arial" w:hAnsi="Arial"/>
          <w:color w:val="2D3748"/>
          <w:sz w:val="22"/>
          <w:szCs w:val="22"/>
        </w:rPr>
        <w:t xml:space="preserve">Compensating controls documented and verified (IP restrictions, enhanced logging, reduced session timeout)</w:t>
      </w:r>
    </w:p>
    <w:p>
      <w:pPr>
        <w:pStyle w:val="ListParagraph"/>
        <w:numPr>
          <w:ilvl w:val="0"/>
          <w:numId w:val="6"/>
        </w:numPr>
        <w:spacing w:after="80"/>
      </w:pPr>
      <w:r>
        <w:rPr>
          <w:rFonts w:ascii="Arial" w:cs="Arial" w:eastAsia="Arial" w:hAnsi="Arial"/>
          <w:color w:val="2D3748"/>
          <w:sz w:val="22"/>
          <w:szCs w:val="22"/>
        </w:rPr>
        <w:t xml:space="preserve">Executive sponsor signature acknowledging residual risk</w:t>
      </w:r>
    </w:p>
    <w:p>
      <w:pPr>
        <w:pStyle w:val="ListParagraph"/>
        <w:numPr>
          <w:ilvl w:val="0"/>
          <w:numId w:val="6"/>
        </w:numPr>
        <w:spacing w:after="80"/>
      </w:pPr>
      <w:r>
        <w:rPr>
          <w:rFonts w:ascii="Arial" w:cs="Arial" w:eastAsia="Arial" w:hAnsi="Arial"/>
          <w:color w:val="2D3748"/>
          <w:sz w:val="22"/>
          <w:szCs w:val="22"/>
        </w:rPr>
        <w:t xml:space="preserve">Maximum exception duration of 90 days with mandatory review and renewal</w:t>
      </w:r>
    </w:p>
    <w:p>
      <w:pPr>
        <w:pStyle w:val="ListParagraph"/>
        <w:numPr>
          <w:ilvl w:val="0"/>
          <w:numId w:val="6"/>
        </w:numPr>
        <w:spacing w:after="80"/>
      </w:pPr>
      <w:r>
        <w:rPr>
          <w:rFonts w:ascii="Arial" w:cs="Arial" w:eastAsia="Arial" w:hAnsi="Arial"/>
          <w:color w:val="2D3748"/>
          <w:sz w:val="22"/>
          <w:szCs w:val="22"/>
        </w:rPr>
        <w:t xml:space="preserve">Documented remediation plan with target date for MFA implementation</w:t>
      </w:r>
    </w:p>
    <w:p>
      <w:r>
        <w:br w:type="page"/>
      </w:r>
    </w:p>
    <w:p>
      <w:pPr>
        <w:pStyle w:val="Heading1"/>
        <w:spacing w:before="360" w:after="200"/>
      </w:pPr>
      <w:r>
        <w:rPr>
          <w:rFonts w:ascii="Arial" w:cs="Arial" w:eastAsia="Arial" w:hAnsi="Arial"/>
          <w:b/>
          <w:bCs/>
          <w:color w:val="1B2B4B"/>
          <w:sz w:val="32"/>
          <w:szCs w:val="32"/>
        </w:rPr>
        <w:t xml:space="preserve">5. Password Management</w:t>
      </w:r>
    </w:p>
    <w:p>
      <w:pPr>
        <w:pStyle w:val="Heading2"/>
        <w:spacing w:before="280" w:after="160"/>
      </w:pPr>
      <w:r>
        <w:rPr>
          <w:rFonts w:ascii="Arial" w:cs="Arial" w:eastAsia="Arial" w:hAnsi="Arial"/>
          <w:b/>
          <w:bCs/>
          <w:color w:val="1B2B4B"/>
          <w:sz w:val="26"/>
          <w:szCs w:val="26"/>
        </w:rPr>
        <w:t xml:space="preserve">5.1 Password Manager Requirements</w:t>
      </w:r>
    </w:p>
    <w:p>
      <w:pPr>
        <w:spacing w:after="160"/>
      </w:pPr>
      <w:r>
        <w:rPr>
          <w:rFonts w:ascii="Arial" w:cs="Arial" w:eastAsia="Arial" w:hAnsi="Arial"/>
          <w:color w:val="2D3748"/>
          <w:sz w:val="22"/>
          <w:szCs w:val="22"/>
        </w:rPr>
        <w:t xml:space="preserve">All employees are required to use the organization’s approved password manager for storing and generating passwords. Password managers eliminate the need to remember multiple complex passwords and provide the strongest practical defense against password reuse.</w:t>
      </w:r>
    </w:p>
    <w:p>
      <w:pPr>
        <w:spacing w:before="200" w:after="120"/>
      </w:pPr>
      <w:r>
        <w:rPr>
          <w:rFonts w:ascii="Arial" w:cs="Arial" w:eastAsia="Arial" w:hAnsi="Arial"/>
          <w:b/>
          <w:bCs/>
          <w:color w:val="C8973E"/>
          <w:sz w:val="22"/>
          <w:szCs w:val="22"/>
        </w:rPr>
        <w:t xml:space="preserve">Approved Password Manager Configuration</w:t>
      </w:r>
    </w:p>
    <w:p>
      <w:pPr>
        <w:pStyle w:val="ListParagraph"/>
        <w:numPr>
          <w:ilvl w:val="0"/>
          <w:numId w:val="7"/>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Master password:</w:t>
      </w:r>
      <w:r>
        <w:rPr>
          <w:rFonts w:ascii="Arial" w:cs="Arial" w:eastAsia="Arial" w:hAnsi="Arial"/>
          <w:color w:val="2D3748"/>
          <w:sz w:val="22"/>
          <w:szCs w:val="22"/>
        </w:rPr>
        <w:t xml:space="preserve"> Minimum 20 characters; must be a unique passphrase not used for any other purpose</w:t>
      </w:r>
    </w:p>
    <w:p>
      <w:pPr>
        <w:pStyle w:val="ListParagraph"/>
        <w:numPr>
          <w:ilvl w:val="0"/>
          <w:numId w:val="7"/>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Auto-lock timeout:</w:t>
      </w:r>
      <w:r>
        <w:rPr>
          <w:rFonts w:ascii="Arial" w:cs="Arial" w:eastAsia="Arial" w:hAnsi="Arial"/>
          <w:color w:val="2D3748"/>
          <w:sz w:val="22"/>
          <w:szCs w:val="22"/>
        </w:rPr>
        <w:t xml:space="preserve"> Maximum 5 minutes of inactivity on desktop; 2 minutes on mobile</w:t>
      </w:r>
    </w:p>
    <w:p>
      <w:pPr>
        <w:pStyle w:val="ListParagraph"/>
        <w:numPr>
          <w:ilvl w:val="0"/>
          <w:numId w:val="7"/>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Browser extension:</w:t>
      </w:r>
      <w:r>
        <w:rPr>
          <w:rFonts w:ascii="Arial" w:cs="Arial" w:eastAsia="Arial" w:hAnsi="Arial"/>
          <w:color w:val="2D3748"/>
          <w:sz w:val="22"/>
          <w:szCs w:val="22"/>
        </w:rPr>
        <w:t xml:space="preserve"> Required for all work browsers to enable autofill and credential capture</w:t>
      </w:r>
    </w:p>
    <w:p>
      <w:pPr>
        <w:pStyle w:val="ListParagraph"/>
        <w:numPr>
          <w:ilvl w:val="0"/>
          <w:numId w:val="7"/>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Sharing:</w:t>
      </w:r>
      <w:r>
        <w:rPr>
          <w:rFonts w:ascii="Arial" w:cs="Arial" w:eastAsia="Arial" w:hAnsi="Arial"/>
          <w:color w:val="2D3748"/>
          <w:sz w:val="22"/>
          <w:szCs w:val="22"/>
        </w:rPr>
        <w:t xml:space="preserve"> Use the password manager’s built-in secure sharing for team credentials; never share passwords via email, chat, or verbal communication</w:t>
      </w:r>
    </w:p>
    <w:p>
      <w:pPr>
        <w:pStyle w:val="ListParagraph"/>
        <w:numPr>
          <w:ilvl w:val="0"/>
          <w:numId w:val="7"/>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Emergency access:</w:t>
      </w:r>
      <w:r>
        <w:rPr>
          <w:rFonts w:ascii="Arial" w:cs="Arial" w:eastAsia="Arial" w:hAnsi="Arial"/>
          <w:color w:val="2D3748"/>
          <w:sz w:val="22"/>
          <w:szCs w:val="22"/>
        </w:rPr>
        <w:t xml:space="preserve"> Designate at least one trusted emergency contact within the organization’s vault for business continuity</w:t>
      </w:r>
    </w:p>
    <w:p>
      <w:pPr>
        <w:pStyle w:val="ListParagraph"/>
        <w:numPr>
          <w:ilvl w:val="0"/>
          <w:numId w:val="7"/>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Backup codes:</w:t>
      </w:r>
      <w:r>
        <w:rPr>
          <w:rFonts w:ascii="Arial" w:cs="Arial" w:eastAsia="Arial" w:hAnsi="Arial"/>
          <w:color w:val="2D3748"/>
          <w:sz w:val="22"/>
          <w:szCs w:val="22"/>
        </w:rPr>
        <w:t xml:space="preserve"> MFA recovery codes must be stored in the password manager, not on paper or in unencrypted files</w:t>
      </w:r>
    </w:p>
    <w:p>
      <w:pPr>
        <w:pStyle w:val="Heading2"/>
        <w:spacing w:before="280" w:after="160"/>
      </w:pPr>
      <w:r>
        <w:rPr>
          <w:rFonts w:ascii="Arial" w:cs="Arial" w:eastAsia="Arial" w:hAnsi="Arial"/>
          <w:b/>
          <w:bCs/>
          <w:color w:val="1B2B4B"/>
          <w:sz w:val="26"/>
          <w:szCs w:val="26"/>
        </w:rPr>
        <w:t xml:space="preserve">5.2 Prohibited Password Practices</w:t>
      </w:r>
    </w:p>
    <w:p>
      <w:pPr>
        <w:spacing w:after="160"/>
      </w:pPr>
      <w:r>
        <w:rPr>
          <w:rFonts w:ascii="Arial" w:cs="Arial" w:eastAsia="Arial" w:hAnsi="Arial"/>
          <w:color w:val="2D3748"/>
          <w:sz w:val="22"/>
          <w:szCs w:val="22"/>
        </w:rPr>
        <w:t xml:space="preserve">The following practices are strictly prohibited. Violation may result in disciplinary action and will trigger mandatory retraining: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00"/>
        <w:gridCol w:w="5760"/>
      </w:tblGrid>
      <w:tr>
        <w:tc>
          <w:tcPr>
            <w:tcW w:type="dxa" w:w="36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Prohibited Practice</w:t>
            </w:r>
          </w:p>
        </w:tc>
        <w:tc>
          <w:tcPr>
            <w:tcW w:type="dxa" w:w="57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Why It’s Dangerous</w:t>
            </w:r>
          </w:p>
        </w:tc>
      </w:tr>
      <w:tr>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Writing passwords on paper, sticky notes, or whiteboards</w:t>
            </w:r>
          </w:p>
        </w:tc>
        <w:tc>
          <w:tcPr>
            <w:tcW w:type="dxa" w:w="5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Physical credentials are easily photographed, stolen, or observed by visitors and cleaning staff</w:t>
            </w:r>
          </w:p>
        </w:tc>
      </w:tr>
      <w:tr>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Storing passwords in unencrypted files (spreadsheets, text files, documents)</w:t>
            </w:r>
          </w:p>
        </w:tc>
        <w:tc>
          <w:tcPr>
            <w:tcW w:type="dxa" w:w="5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Files are indexed by search, backed up to cloud services, and accessible if the device is compromised</w:t>
            </w:r>
          </w:p>
        </w:tc>
      </w:tr>
      <w:tr>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Sharing passwords via email, chat, SMS, or verbal communication</w:t>
            </w:r>
          </w:p>
        </w:tc>
        <w:tc>
          <w:tcPr>
            <w:tcW w:type="dxa" w:w="5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These channels are logged, intercepted, and often archived—creating permanent exposure of the credential</w:t>
            </w:r>
          </w:p>
        </w:tc>
      </w:tr>
      <w:tr>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Reusing passwords across work and personal accounts</w:t>
            </w:r>
          </w:p>
        </w:tc>
        <w:tc>
          <w:tcPr>
            <w:tcW w:type="dxa" w:w="5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 breach at any one service exposes the reused credential across all services—attackers check for this automatically</w:t>
            </w:r>
          </w:p>
        </w:tc>
      </w:tr>
      <w:tr>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Using the same password for multiple work systems</w:t>
            </w:r>
          </w:p>
        </w:tc>
        <w:tc>
          <w:tcPr>
            <w:tcW w:type="dxa" w:w="5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Lateral movement becomes trivial: one compromised system gives access to all systems sharing the credential</w:t>
            </w:r>
          </w:p>
        </w:tc>
      </w:tr>
      <w:tr>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Saving passwords in browsers without the approved password manager</w:t>
            </w:r>
          </w:p>
        </w:tc>
        <w:tc>
          <w:tcPr>
            <w:tcW w:type="dxa" w:w="5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Browser password stores have weaker encryption and are a primary target for credential-stealing malware</w:t>
            </w:r>
          </w:p>
        </w:tc>
      </w:tr>
      <w:tr>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Sharing accounts or credentials between employees</w:t>
            </w:r>
          </w:p>
        </w:tc>
        <w:tc>
          <w:tcPr>
            <w:tcW w:type="dxa" w:w="5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Eliminates individual accountability and creates audit trail gaps that complicate incident investigation</w:t>
            </w:r>
          </w:p>
        </w:tc>
      </w:tr>
    </w:tbl>
    <w:p>
      <w:pPr>
        <w:pStyle w:val="Heading2"/>
        <w:spacing w:before="280" w:after="160"/>
      </w:pPr>
      <w:r>
        <w:rPr>
          <w:rFonts w:ascii="Arial" w:cs="Arial" w:eastAsia="Arial" w:hAnsi="Arial"/>
          <w:b/>
          <w:bCs/>
          <w:color w:val="1B2B4B"/>
          <w:sz w:val="26"/>
          <w:szCs w:val="26"/>
        </w:rPr>
        <w:t xml:space="preserve">5.3 Password Change Triggers</w:t>
      </w:r>
    </w:p>
    <w:p>
      <w:pPr>
        <w:spacing w:after="160"/>
      </w:pPr>
      <w:r>
        <w:rPr>
          <w:rFonts w:ascii="Arial" w:cs="Arial" w:eastAsia="Arial" w:hAnsi="Arial"/>
          <w:color w:val="2D3748"/>
          <w:sz w:val="22"/>
          <w:szCs w:val="22"/>
        </w:rPr>
        <w:t xml:space="preserve">In addition to scheduled expiration, passwords must be changed immediately when any of the following events occur:</w:t>
      </w:r>
    </w:p>
    <w:p>
      <w:pPr>
        <w:pStyle w:val="ListParagraph"/>
        <w:numPr>
          <w:ilvl w:val="0"/>
          <w:numId w:val="8"/>
        </w:numPr>
        <w:spacing w:after="80"/>
      </w:pPr>
      <w:r>
        <w:rPr>
          <w:rFonts w:ascii="Arial" w:cs="Arial" w:eastAsia="Arial" w:hAnsi="Arial"/>
          <w:color w:val="2D3748"/>
          <w:sz w:val="22"/>
          <w:szCs w:val="22"/>
        </w:rPr>
        <w:t xml:space="preserve">Known or suspected compromise of the account or credential</w:t>
      </w:r>
    </w:p>
    <w:p>
      <w:pPr>
        <w:pStyle w:val="ListParagraph"/>
        <w:numPr>
          <w:ilvl w:val="0"/>
          <w:numId w:val="8"/>
        </w:numPr>
        <w:spacing w:after="80"/>
      </w:pPr>
      <w:r>
        <w:rPr>
          <w:rFonts w:ascii="Arial" w:cs="Arial" w:eastAsia="Arial" w:hAnsi="Arial"/>
          <w:color w:val="2D3748"/>
          <w:sz w:val="22"/>
          <w:szCs w:val="22"/>
        </w:rPr>
        <w:t xml:space="preserve">Notification that the password appears in a public breach database</w:t>
      </w:r>
    </w:p>
    <w:p>
      <w:pPr>
        <w:pStyle w:val="ListParagraph"/>
        <w:numPr>
          <w:ilvl w:val="0"/>
          <w:numId w:val="8"/>
        </w:numPr>
        <w:spacing w:after="80"/>
      </w:pPr>
      <w:r>
        <w:rPr>
          <w:rFonts w:ascii="Arial" w:cs="Arial" w:eastAsia="Arial" w:hAnsi="Arial"/>
          <w:color w:val="2D3748"/>
          <w:sz w:val="22"/>
          <w:szCs w:val="22"/>
        </w:rPr>
        <w:t xml:space="preserve">Employee termination, role change, or transfer that affects access permissions</w:t>
      </w:r>
    </w:p>
    <w:p>
      <w:pPr>
        <w:pStyle w:val="ListParagraph"/>
        <w:numPr>
          <w:ilvl w:val="0"/>
          <w:numId w:val="8"/>
        </w:numPr>
        <w:spacing w:after="80"/>
      </w:pPr>
      <w:r>
        <w:rPr>
          <w:rFonts w:ascii="Arial" w:cs="Arial" w:eastAsia="Arial" w:hAnsi="Arial"/>
          <w:color w:val="2D3748"/>
          <w:sz w:val="22"/>
          <w:szCs w:val="22"/>
        </w:rPr>
        <w:t xml:space="preserve">Suspicion that the password was observed, overheard, or shared with an unauthorized person</w:t>
      </w:r>
    </w:p>
    <w:p>
      <w:pPr>
        <w:pStyle w:val="ListParagraph"/>
        <w:numPr>
          <w:ilvl w:val="0"/>
          <w:numId w:val="8"/>
        </w:numPr>
        <w:spacing w:after="80"/>
      </w:pPr>
      <w:r>
        <w:rPr>
          <w:rFonts w:ascii="Arial" w:cs="Arial" w:eastAsia="Arial" w:hAnsi="Arial"/>
          <w:color w:val="2D3748"/>
          <w:sz w:val="22"/>
          <w:szCs w:val="22"/>
        </w:rPr>
        <w:t xml:space="preserve">Phishing simulation failure where the employee entered credentials on a simulated page</w:t>
      </w:r>
    </w:p>
    <w:p>
      <w:pPr>
        <w:pStyle w:val="ListParagraph"/>
        <w:numPr>
          <w:ilvl w:val="0"/>
          <w:numId w:val="8"/>
        </w:numPr>
        <w:spacing w:after="80"/>
      </w:pPr>
      <w:r>
        <w:rPr>
          <w:rFonts w:ascii="Arial" w:cs="Arial" w:eastAsia="Arial" w:hAnsi="Arial"/>
          <w:color w:val="2D3748"/>
          <w:sz w:val="22"/>
          <w:szCs w:val="22"/>
        </w:rPr>
        <w:t xml:space="preserve">Direction from IT Security or incident response team following a security event</w:t>
      </w:r>
    </w:p>
    <w:p>
      <w:pPr>
        <w:pStyle w:val="ListParagraph"/>
        <w:numPr>
          <w:ilvl w:val="0"/>
          <w:numId w:val="8"/>
        </w:numPr>
        <w:spacing w:after="80"/>
      </w:pPr>
      <w:r>
        <w:rPr>
          <w:rFonts w:ascii="Arial" w:cs="Arial" w:eastAsia="Arial" w:hAnsi="Arial"/>
          <w:color w:val="2D3748"/>
          <w:sz w:val="22"/>
          <w:szCs w:val="22"/>
        </w:rPr>
        <w:t xml:space="preserve">Any system vulnerability that may have exposed stored credentials</w:t>
      </w:r>
    </w:p>
    <w:p>
      <w:r>
        <w:br w:type="page"/>
      </w:r>
    </w:p>
    <w:p>
      <w:pPr>
        <w:pStyle w:val="Heading1"/>
        <w:spacing w:before="360" w:after="200"/>
      </w:pPr>
      <w:r>
        <w:rPr>
          <w:rFonts w:ascii="Arial" w:cs="Arial" w:eastAsia="Arial" w:hAnsi="Arial"/>
          <w:b/>
          <w:bCs/>
          <w:color w:val="1B2B4B"/>
          <w:sz w:val="32"/>
          <w:szCs w:val="32"/>
        </w:rPr>
        <w:t xml:space="preserve">6. Service and Privileged Accounts</w:t>
      </w:r>
    </w:p>
    <w:p>
      <w:pPr>
        <w:pStyle w:val="Heading2"/>
        <w:spacing w:before="280" w:after="160"/>
      </w:pPr>
      <w:r>
        <w:rPr>
          <w:rFonts w:ascii="Arial" w:cs="Arial" w:eastAsia="Arial" w:hAnsi="Arial"/>
          <w:b/>
          <w:bCs/>
          <w:color w:val="1B2B4B"/>
          <w:sz w:val="26"/>
          <w:szCs w:val="26"/>
        </w:rPr>
        <w:t xml:space="preserve">6.1 Privileged Account Controls</w:t>
      </w:r>
    </w:p>
    <w:p>
      <w:pPr>
        <w:spacing w:after="160"/>
      </w:pPr>
      <w:r>
        <w:rPr>
          <w:rFonts w:ascii="Arial" w:cs="Arial" w:eastAsia="Arial" w:hAnsi="Arial"/>
          <w:color w:val="2D3748"/>
          <w:sz w:val="22"/>
          <w:szCs w:val="22"/>
        </w:rPr>
        <w:t xml:space="preserve">Privileged accounts (domain administrators, root accounts, database administrators, cloud IAM administrators) require enhanced controls due to their elevated access and the severity of potential compromise.</w:t>
      </w:r>
    </w:p>
    <w:p>
      <w:pPr>
        <w:pStyle w:val="ListParagraph"/>
        <w:numPr>
          <w:ilvl w:val="0"/>
          <w:numId w:val="9"/>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Separate accounts:</w:t>
      </w:r>
      <w:r>
        <w:rPr>
          <w:rFonts w:ascii="Arial" w:cs="Arial" w:eastAsia="Arial" w:hAnsi="Arial"/>
          <w:color w:val="2D3748"/>
          <w:sz w:val="22"/>
          <w:szCs w:val="22"/>
        </w:rPr>
        <w:t xml:space="preserve"> Administrators must use separate privileged accounts (e.g., admin-jsmith) distinct from their standard user accounts; privileged accounts must not be used for email, web browsing, or routine work</w:t>
      </w:r>
    </w:p>
    <w:p>
      <w:pPr>
        <w:pStyle w:val="ListParagraph"/>
        <w:numPr>
          <w:ilvl w:val="0"/>
          <w:numId w:val="9"/>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Just-in-time (JIT) access:</w:t>
      </w:r>
      <w:r>
        <w:rPr>
          <w:rFonts w:ascii="Arial" w:cs="Arial" w:eastAsia="Arial" w:hAnsi="Arial"/>
          <w:color w:val="2D3748"/>
          <w:sz w:val="22"/>
          <w:szCs w:val="22"/>
        </w:rPr>
        <w:t xml:space="preserve"> Privileged access should be provisioned on-demand and automatically revoked after a defined period (recommended: 4–8 hours)</w:t>
      </w:r>
    </w:p>
    <w:p>
      <w:pPr>
        <w:pStyle w:val="ListParagraph"/>
        <w:numPr>
          <w:ilvl w:val="0"/>
          <w:numId w:val="9"/>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Session recording:</w:t>
      </w:r>
      <w:r>
        <w:rPr>
          <w:rFonts w:ascii="Arial" w:cs="Arial" w:eastAsia="Arial" w:hAnsi="Arial"/>
          <w:color w:val="2D3748"/>
          <w:sz w:val="22"/>
          <w:szCs w:val="22"/>
        </w:rPr>
        <w:t xml:space="preserve"> All privileged sessions should be logged and recorded for forensic review using a Privileged Access Management (PAM) solution</w:t>
      </w:r>
    </w:p>
    <w:p>
      <w:pPr>
        <w:pStyle w:val="ListParagraph"/>
        <w:numPr>
          <w:ilvl w:val="0"/>
          <w:numId w:val="9"/>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Hardware MFA:</w:t>
      </w:r>
      <w:r>
        <w:rPr>
          <w:rFonts w:ascii="Arial" w:cs="Arial" w:eastAsia="Arial" w:hAnsi="Arial"/>
          <w:color w:val="2D3748"/>
          <w:sz w:val="22"/>
          <w:szCs w:val="22"/>
        </w:rPr>
        <w:t xml:space="preserve"> FIDO2 hardware security keys are mandatory for all privileged account authentication; authenticator apps are not sufficient</w:t>
      </w:r>
    </w:p>
    <w:p>
      <w:pPr>
        <w:pStyle w:val="ListParagraph"/>
        <w:numPr>
          <w:ilvl w:val="0"/>
          <w:numId w:val="9"/>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Break-glass procedures:</w:t>
      </w:r>
      <w:r>
        <w:rPr>
          <w:rFonts w:ascii="Arial" w:cs="Arial" w:eastAsia="Arial" w:hAnsi="Arial"/>
          <w:color w:val="2D3748"/>
          <w:sz w:val="22"/>
          <w:szCs w:val="22"/>
        </w:rPr>
        <w:t xml:space="preserve"> Emergency access credentials must be stored in a sealed envelope in a physical safe or a digitally sealed vault with dual-authorization access, tested quarterly</w:t>
      </w:r>
    </w:p>
    <w:p>
      <w:pPr>
        <w:pStyle w:val="Heading2"/>
        <w:spacing w:before="280" w:after="160"/>
      </w:pPr>
      <w:r>
        <w:rPr>
          <w:rFonts w:ascii="Arial" w:cs="Arial" w:eastAsia="Arial" w:hAnsi="Arial"/>
          <w:b/>
          <w:bCs/>
          <w:color w:val="1B2B4B"/>
          <w:sz w:val="26"/>
          <w:szCs w:val="26"/>
        </w:rPr>
        <w:t xml:space="preserve">6.2 Service Account Management</w:t>
      </w:r>
    </w:p>
    <w:p>
      <w:pPr>
        <w:spacing w:after="160"/>
      </w:pPr>
      <w:r>
        <w:rPr>
          <w:rFonts w:ascii="Arial" w:cs="Arial" w:eastAsia="Arial" w:hAnsi="Arial"/>
          <w:color w:val="2D3748"/>
          <w:sz w:val="22"/>
          <w:szCs w:val="22"/>
        </w:rPr>
        <w:t xml:space="preserve">Service accounts (used by applications, scripts, and automated processes) present unique risks because they often have persistent access, are shared across teams, and are difficult to monitor for anomalous behavior.</w:t>
      </w:r>
    </w:p>
    <w:p>
      <w:pPr>
        <w:pStyle w:val="ListParagraph"/>
        <w:numPr>
          <w:ilvl w:val="0"/>
          <w:numId w:val="10"/>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Inventory:</w:t>
      </w:r>
      <w:r>
        <w:rPr>
          <w:rFonts w:ascii="Arial" w:cs="Arial" w:eastAsia="Arial" w:hAnsi="Arial"/>
          <w:color w:val="2D3748"/>
          <w:sz w:val="22"/>
          <w:szCs w:val="22"/>
        </w:rPr>
        <w:t xml:space="preserve"> Maintain a complete inventory of all service accounts including owner, purpose, systems accessed, and last credential rotation date</w:t>
      </w:r>
    </w:p>
    <w:p>
      <w:pPr>
        <w:pStyle w:val="ListParagraph"/>
        <w:numPr>
          <w:ilvl w:val="0"/>
          <w:numId w:val="10"/>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Named ownership:</w:t>
      </w:r>
      <w:r>
        <w:rPr>
          <w:rFonts w:ascii="Arial" w:cs="Arial" w:eastAsia="Arial" w:hAnsi="Arial"/>
          <w:color w:val="2D3748"/>
          <w:sz w:val="22"/>
          <w:szCs w:val="22"/>
        </w:rPr>
        <w:t xml:space="preserve"> Every service account must have a named human owner responsible for its security, access reviews, and credential rotation</w:t>
      </w:r>
    </w:p>
    <w:p>
      <w:pPr>
        <w:pStyle w:val="ListParagraph"/>
        <w:numPr>
          <w:ilvl w:val="0"/>
          <w:numId w:val="10"/>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Credential rotation:</w:t>
      </w:r>
      <w:r>
        <w:rPr>
          <w:rFonts w:ascii="Arial" w:cs="Arial" w:eastAsia="Arial" w:hAnsi="Arial"/>
          <w:color w:val="2D3748"/>
          <w:sz w:val="22"/>
          <w:szCs w:val="22"/>
        </w:rPr>
        <w:t xml:space="preserve"> Service account passwords must be rotated at least annually, or within 24 hours of any personnel change involving the account owner or administrators with access</w:t>
      </w:r>
    </w:p>
    <w:p>
      <w:pPr>
        <w:pStyle w:val="ListParagraph"/>
        <w:numPr>
          <w:ilvl w:val="0"/>
          <w:numId w:val="10"/>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Least privilege:</w:t>
      </w:r>
      <w:r>
        <w:rPr>
          <w:rFonts w:ascii="Arial" w:cs="Arial" w:eastAsia="Arial" w:hAnsi="Arial"/>
          <w:color w:val="2D3748"/>
          <w:sz w:val="22"/>
          <w:szCs w:val="22"/>
        </w:rPr>
        <w:t xml:space="preserve"> Service accounts must be provisioned with the minimum permissions required for their function; broad administrative access is prohibited</w:t>
      </w:r>
    </w:p>
    <w:p>
      <w:pPr>
        <w:pStyle w:val="ListParagraph"/>
        <w:numPr>
          <w:ilvl w:val="0"/>
          <w:numId w:val="10"/>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Certificate-based authentication:</w:t>
      </w:r>
      <w:r>
        <w:rPr>
          <w:rFonts w:ascii="Arial" w:cs="Arial" w:eastAsia="Arial" w:hAnsi="Arial"/>
          <w:color w:val="2D3748"/>
          <w:sz w:val="22"/>
          <w:szCs w:val="22"/>
        </w:rPr>
        <w:t xml:space="preserve"> Where supported, replace password-based service accounts with certificate-based or managed identity authentication</w:t>
      </w:r>
    </w:p>
    <w:p>
      <w:pPr>
        <w:pStyle w:val="ListParagraph"/>
        <w:numPr>
          <w:ilvl w:val="0"/>
          <w:numId w:val="10"/>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Monitoring:</w:t>
      </w:r>
      <w:r>
        <w:rPr>
          <w:rFonts w:ascii="Arial" w:cs="Arial" w:eastAsia="Arial" w:hAnsi="Arial"/>
          <w:color w:val="2D3748"/>
          <w:sz w:val="22"/>
          <w:szCs w:val="22"/>
        </w:rPr>
        <w:t xml:space="preserve"> Service account activity must be logged and monitored for anomalous behavior, including access outside normal operating hours or from unexpected sources</w:t>
      </w:r>
    </w:p>
    <w:p>
      <w:r>
        <w:br w:type="page"/>
      </w:r>
    </w:p>
    <w:p>
      <w:pPr>
        <w:pStyle w:val="Heading1"/>
        <w:spacing w:before="360" w:after="200"/>
      </w:pPr>
      <w:r>
        <w:rPr>
          <w:rFonts w:ascii="Arial" w:cs="Arial" w:eastAsia="Arial" w:hAnsi="Arial"/>
          <w:b/>
          <w:bCs/>
          <w:color w:val="1B2B4B"/>
          <w:sz w:val="32"/>
          <w:szCs w:val="32"/>
        </w:rPr>
        <w:t xml:space="preserve">7. Monitoring and Incident Response</w:t>
      </w:r>
    </w:p>
    <w:p>
      <w:pPr>
        <w:pStyle w:val="Heading2"/>
        <w:spacing w:before="280" w:after="160"/>
      </w:pPr>
      <w:r>
        <w:rPr>
          <w:rFonts w:ascii="Arial" w:cs="Arial" w:eastAsia="Arial" w:hAnsi="Arial"/>
          <w:b/>
          <w:bCs/>
          <w:color w:val="1B2B4B"/>
          <w:sz w:val="26"/>
          <w:szCs w:val="26"/>
        </w:rPr>
        <w:t xml:space="preserve">7.1 Credential Monitoring</w:t>
      </w:r>
    </w:p>
    <w:p>
      <w:pPr>
        <w:spacing w:after="160"/>
      </w:pPr>
      <w:r>
        <w:rPr>
          <w:rFonts w:ascii="Arial" w:cs="Arial" w:eastAsia="Arial" w:hAnsi="Arial"/>
          <w:color w:val="2D3748"/>
          <w:sz w:val="22"/>
          <w:szCs w:val="22"/>
        </w:rPr>
        <w:t xml:space="preserve">The organization implements the following monitoring controls to detect credential compromise and unauthorized access attempts:</w:t>
      </w:r>
    </w:p>
    <w:p>
      <w:pPr>
        <w:pStyle w:val="ListParagraph"/>
        <w:numPr>
          <w:ilvl w:val="0"/>
          <w:numId w:val="11"/>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Breach monitoring:</w:t>
      </w:r>
      <w:r>
        <w:rPr>
          <w:rFonts w:ascii="Arial" w:cs="Arial" w:eastAsia="Arial" w:hAnsi="Arial"/>
          <w:color w:val="2D3748"/>
          <w:sz w:val="22"/>
          <w:szCs w:val="22"/>
        </w:rPr>
        <w:t xml:space="preserve"> Continuous monitoring of organizational email domains against known breach databases (Have I Been Pwned, CISA alerts, vendor notifications) with automated alerts to IT Security</w:t>
      </w:r>
    </w:p>
    <w:p>
      <w:pPr>
        <w:pStyle w:val="ListParagraph"/>
        <w:numPr>
          <w:ilvl w:val="0"/>
          <w:numId w:val="11"/>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Failed login monitoring:</w:t>
      </w:r>
      <w:r>
        <w:rPr>
          <w:rFonts w:ascii="Arial" w:cs="Arial" w:eastAsia="Arial" w:hAnsi="Arial"/>
          <w:color w:val="2D3748"/>
          <w:sz w:val="22"/>
          <w:szCs w:val="22"/>
        </w:rPr>
        <w:t xml:space="preserve"> Automated alerting on failed login patterns including brute-force attempts (&gt;10 failures in 5 minutes), credential stuffing patterns, and authentication anomalies</w:t>
      </w:r>
    </w:p>
    <w:p>
      <w:pPr>
        <w:pStyle w:val="ListParagraph"/>
        <w:numPr>
          <w:ilvl w:val="0"/>
          <w:numId w:val="11"/>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Impossible travel detection:</w:t>
      </w:r>
      <w:r>
        <w:rPr>
          <w:rFonts w:ascii="Arial" w:cs="Arial" w:eastAsia="Arial" w:hAnsi="Arial"/>
          <w:color w:val="2D3748"/>
          <w:sz w:val="22"/>
          <w:szCs w:val="22"/>
        </w:rPr>
        <w:t xml:space="preserve"> Alerts when the same account authenticates from geographically impossible locations within a short timeframe</w:t>
      </w:r>
    </w:p>
    <w:p>
      <w:pPr>
        <w:pStyle w:val="ListParagraph"/>
        <w:numPr>
          <w:ilvl w:val="0"/>
          <w:numId w:val="11"/>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Dormant account detection:</w:t>
      </w:r>
      <w:r>
        <w:rPr>
          <w:rFonts w:ascii="Arial" w:cs="Arial" w:eastAsia="Arial" w:hAnsi="Arial"/>
          <w:color w:val="2D3748"/>
          <w:sz w:val="22"/>
          <w:szCs w:val="22"/>
        </w:rPr>
        <w:t xml:space="preserve"> Automated flagging of accounts with no authentication activity for 45+ days for review and potential disabling</w:t>
      </w:r>
    </w:p>
    <w:p>
      <w:pPr>
        <w:pStyle w:val="ListParagraph"/>
        <w:numPr>
          <w:ilvl w:val="0"/>
          <w:numId w:val="11"/>
        </w:numPr>
        <w:spacing w:after="80"/>
      </w:pPr>
      <w:r>
        <w:rPr>
          <w:rFonts w:ascii="Arial" w:cs="Arial" w:eastAsia="Arial" w:hAnsi="Arial"/>
          <w:color w:val="2D3748"/>
          <w:sz w:val="22"/>
          <w:szCs w:val="22"/>
        </w:rPr>
        <w:t xml:space="preserve"/>
      </w:r>
      <w:r>
        <w:rPr>
          <w:rFonts w:ascii="Arial" w:cs="Arial" w:eastAsia="Arial" w:hAnsi="Arial"/>
          <w:b/>
          <w:bCs/>
          <w:color w:val="2D3748"/>
          <w:sz w:val="22"/>
          <w:szCs w:val="22"/>
        </w:rPr>
        <w:t xml:space="preserve">Dark web monitoring:</w:t>
      </w:r>
      <w:r>
        <w:rPr>
          <w:rFonts w:ascii="Arial" w:cs="Arial" w:eastAsia="Arial" w:hAnsi="Arial"/>
          <w:color w:val="2D3748"/>
          <w:sz w:val="22"/>
          <w:szCs w:val="22"/>
        </w:rPr>
        <w:t xml:space="preserve"> Periodic scanning of dark web forums and paste sites for organizational credentials</w:t>
      </w:r>
    </w:p>
    <w:p>
      <w:r>
        <w:br w:type="page"/>
      </w:r>
    </w:p>
    <w:p>
      <w:pPr>
        <w:pStyle w:val="Heading2"/>
        <w:spacing w:before="280" w:after="160"/>
      </w:pPr>
      <w:r>
        <w:rPr>
          <w:rFonts w:ascii="Arial" w:cs="Arial" w:eastAsia="Arial" w:hAnsi="Arial"/>
          <w:b/>
          <w:bCs/>
          <w:color w:val="1B2B4B"/>
          <w:sz w:val="26"/>
          <w:szCs w:val="26"/>
        </w:rPr>
        <w:t xml:space="preserve">7.2 Credential Compromise Response</w:t>
      </w:r>
    </w:p>
    <w:p>
      <w:pPr>
        <w:spacing w:after="160"/>
      </w:pPr>
      <w:r>
        <w:rPr>
          <w:rFonts w:ascii="Arial" w:cs="Arial" w:eastAsia="Arial" w:hAnsi="Arial"/>
          <w:color w:val="2D3748"/>
          <w:sz w:val="22"/>
          <w:szCs w:val="22"/>
        </w:rPr>
        <w:t xml:space="preserve">When a credential compromise is confirmed or suspected, the following response procedure activates: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2400"/>
        <w:gridCol w:w="6160"/>
      </w:tblGrid>
      <w:tr>
        <w:tc>
          <w:tcPr>
            <w:tcW w:type="dxa" w:w="8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Step</w:t>
            </w:r>
          </w:p>
        </w:tc>
        <w:tc>
          <w:tcPr>
            <w:tcW w:type="dxa" w:w="24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Action</w:t>
            </w:r>
          </w:p>
        </w:tc>
        <w:tc>
          <w:tcPr>
            <w:tcW w:type="dxa" w:w="61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Details</w:t>
            </w:r>
          </w:p>
        </w:tc>
      </w:tr>
      <w:tr>
        <w:tc>
          <w:tcPr>
            <w:tcW w:type="dxa" w:w="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1</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Immediate containment</w:t>
            </w:r>
          </w:p>
        </w:tc>
        <w:tc>
          <w:tcPr>
            <w:tcW w:type="dxa" w:w="6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Disable or force password reset on the compromised account within 15 minutes of confirmation. Revoke all active sessions and tokens.</w:t>
            </w:r>
          </w:p>
        </w:tc>
      </w:tr>
      <w:tr>
        <w:tc>
          <w:tcPr>
            <w:tcW w:type="dxa" w:w="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2</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Scope assessment</w:t>
            </w:r>
          </w:p>
        </w:tc>
        <w:tc>
          <w:tcPr>
            <w:tcW w:type="dxa" w:w="6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Determine whether the compromised credential was reused on other systems. Check password manager vault for shared credentials. Review recent login history for unauthorized access.</w:t>
            </w:r>
          </w:p>
        </w:tc>
      </w:tr>
      <w:tr>
        <w:tc>
          <w:tcPr>
            <w:tcW w:type="dxa" w:w="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3</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Lateral movement check</w:t>
            </w:r>
          </w:p>
        </w:tc>
        <w:tc>
          <w:tcPr>
            <w:tcW w:type="dxa" w:w="6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Review access logs for all systems the compromised account could reach. Identify any data accessed, files downloaded, or changes made during the suspected compromise window.</w:t>
            </w:r>
          </w:p>
        </w:tc>
      </w:tr>
      <w:tr>
        <w:tc>
          <w:tcPr>
            <w:tcW w:type="dxa" w:w="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4</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Reset and secure</w:t>
            </w:r>
          </w:p>
        </w:tc>
        <w:tc>
          <w:tcPr>
            <w:tcW w:type="dxa" w:w="6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Issue a new, unique password meeting policy requirements. Verify MFA is active and hardware key is registered. Revoke and reissue any API keys, tokens, or certificates associated with the account.</w:t>
            </w:r>
          </w:p>
        </w:tc>
      </w:tr>
      <w:tr>
        <w:tc>
          <w:tcPr>
            <w:tcW w:type="dxa" w:w="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5</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Notification</w:t>
            </w:r>
          </w:p>
        </w:tc>
        <w:tc>
          <w:tcPr>
            <w:tcW w:type="dxa" w:w="6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Notify the affected user, their manager, and any relevant data owners. If customer or regulated data was potentially accessed, engage the incident response team for breach assessment.</w:t>
            </w:r>
          </w:p>
        </w:tc>
      </w:tr>
      <w:tr>
        <w:tc>
          <w:tcPr>
            <w:tcW w:type="dxa" w:w="8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6</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Root cause analysis</w:t>
            </w:r>
          </w:p>
        </w:tc>
        <w:tc>
          <w:tcPr>
            <w:tcW w:type="dxa" w:w="6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Determine how the credential was compromised (phishing, reuse, malware, insider threat). Document findings and update security controls to prevent recurrence.</w:t>
            </w:r>
          </w:p>
        </w:tc>
      </w:tr>
      <w:tr>
        <w:tc>
          <w:tcPr>
            <w:tcW w:type="dxa" w:w="8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7</w:t>
            </w:r>
            <w:r>
              <w:rPr>
                <w:rFonts w:ascii="Arial" w:cs="Arial" w:eastAsia="Arial" w:hAnsi="Arial"/>
                <w:color w:val="2D3748"/>
                <w:sz w:val="22"/>
                <w:szCs w:val="22"/>
              </w:rPr>
              <w:t xml:space="preserve"/>
            </w:r>
          </w:p>
        </w:tc>
        <w:tc>
          <w:tcPr>
            <w:tcW w:type="dxa" w:w="24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Documentation</w:t>
            </w:r>
          </w:p>
        </w:tc>
        <w:tc>
          <w:tcPr>
            <w:tcW w:type="dxa" w:w="6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Complete the incident report including timeline, affected systems, data exposure assessment, response actions, and lessons learned. Retain records for insurance and compliance purposes.</w:t>
            </w:r>
          </w:p>
        </w:tc>
      </w:tr>
    </w:tbl>
    <w:p>
      <w:r>
        <w:br w:type="page"/>
      </w:r>
    </w:p>
    <w:p>
      <w:pPr>
        <w:pStyle w:val="Heading1"/>
        <w:spacing w:before="360" w:after="200"/>
      </w:pPr>
      <w:r>
        <w:rPr>
          <w:rFonts w:ascii="Arial" w:cs="Arial" w:eastAsia="Arial" w:hAnsi="Arial"/>
          <w:b/>
          <w:bCs/>
          <w:color w:val="1B2B4B"/>
          <w:sz w:val="32"/>
          <w:szCs w:val="32"/>
        </w:rPr>
        <w:t xml:space="preserve">8. Compliance and Insurance Requirements</w:t>
      </w:r>
    </w:p>
    <w:p>
      <w:pPr>
        <w:pStyle w:val="Heading2"/>
        <w:spacing w:before="280" w:after="160"/>
      </w:pPr>
      <w:r>
        <w:rPr>
          <w:rFonts w:ascii="Arial" w:cs="Arial" w:eastAsia="Arial" w:hAnsi="Arial"/>
          <w:b/>
          <w:bCs/>
          <w:color w:val="1B2B4B"/>
          <w:sz w:val="26"/>
          <w:szCs w:val="26"/>
        </w:rPr>
        <w:t xml:space="preserve">8.1 Regulatory Compliance Mapping</w:t>
      </w:r>
    </w:p>
    <w:p>
      <w:pPr>
        <w:spacing w:after="160"/>
      </w:pPr>
      <w:r>
        <w:rPr>
          <w:rFonts w:ascii="Arial" w:cs="Arial" w:eastAsia="Arial" w:hAnsi="Arial"/>
          <w:color w:val="2D3748"/>
          <w:sz w:val="22"/>
          <w:szCs w:val="22"/>
        </w:rPr>
        <w:t xml:space="preserve">This password policy is designed to meet or exceed the authentication requirements of the following regulatory frameworks. Organizations should verify alignment with all applicable regulations based on their industry and geography.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2000"/>
        <w:gridCol w:w="5160"/>
      </w:tblGrid>
      <w:tr>
        <w:tc>
          <w:tcPr>
            <w:tcW w:type="dxa" w:w="22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Framework</w:t>
            </w:r>
          </w:p>
        </w:tc>
        <w:tc>
          <w:tcPr>
            <w:tcW w:type="dxa" w:w="20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Reference</w:t>
            </w:r>
          </w:p>
        </w:tc>
        <w:tc>
          <w:tcPr>
            <w:tcW w:type="dxa" w:w="51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Password / Authentication Requirements</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NIST SP 800-63B</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Section 5.1</w:t>
            </w:r>
          </w:p>
        </w:tc>
        <w:tc>
          <w:tcPr>
            <w:tcW w:type="dxa" w:w="5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Minimum 8 characters (we exceed with 14); no composition rules mandated; check against breached password lists; MFA recommended</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PCI-DSS 4.0</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Req 8.2–8.6</w:t>
            </w:r>
          </w:p>
        </w:tc>
        <w:tc>
          <w:tcPr>
            <w:tcW w:type="dxa" w:w="5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Minimum 12 characters; complexity required; 90-day rotation for non-MFA accounts; MFA for all administrative access</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HIPAA Security Rule</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§164.312</w:t>
            </w:r>
          </w:p>
        </w:tc>
        <w:tc>
          <w:tcPr>
            <w:tcW w:type="dxa" w:w="5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Unique user IDs; emergency access procedures; automatic logoff; access controls proportional to risk</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SOC 2 (TSC)</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CC6.1–CC6.3</w:t>
            </w:r>
          </w:p>
        </w:tc>
        <w:tc>
          <w:tcPr>
            <w:tcW w:type="dxa" w:w="5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Logical access controls; authentication mechanisms; credential management procedures documented and tested</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ISO 27001:2022</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A.8.5</w:t>
            </w:r>
          </w:p>
        </w:tc>
        <w:tc>
          <w:tcPr>
            <w:tcW w:type="dxa" w:w="5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Authentication information managed through formal process; MFA for sensitive systems; regular review of access rights</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CIS Controls v8</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Control 5, 6</w:t>
            </w:r>
          </w:p>
        </w:tc>
        <w:tc>
          <w:tcPr>
            <w:tcW w:type="dxa" w:w="51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Inventory of accounts; centralized authentication; MFA on all externally-accessible systems; disable dormant accounts</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State Privacy Laws</w:t>
            </w:r>
            <w:r>
              <w:rPr>
                <w:rFonts w:ascii="Arial" w:cs="Arial" w:eastAsia="Arial" w:hAnsi="Arial"/>
                <w:color w:val="2D3748"/>
                <w:sz w:val="22"/>
                <w:szCs w:val="22"/>
              </w:rPr>
              <w:t xml:space="preserve"/>
            </w:r>
          </w:p>
        </w:tc>
        <w:tc>
          <w:tcPr>
            <w:tcW w:type="dxa" w:w="20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Various</w:t>
            </w:r>
          </w:p>
        </w:tc>
        <w:tc>
          <w:tcPr>
            <w:tcW w:type="dxa" w:w="51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Reasonable security measures for personal data; password requirements often implied under "reasonable" standard</w:t>
            </w:r>
          </w:p>
        </w:tc>
      </w:tr>
    </w:tbl>
    <w:p>
      <w:pPr>
        <w:spacing w:after="200"/>
      </w:pPr>
    </w:p>
    <w:p>
      <w:r>
        <w:br w:type="page"/>
      </w:r>
    </w:p>
    <w:p>
      <w:pPr>
        <w:pStyle w:val="Heading2"/>
        <w:spacing w:before="280" w:after="160"/>
      </w:pPr>
      <w:r>
        <w:rPr>
          <w:rFonts w:ascii="Arial" w:cs="Arial" w:eastAsia="Arial" w:hAnsi="Arial"/>
          <w:b/>
          <w:bCs/>
          <w:color w:val="1B2B4B"/>
          <w:sz w:val="26"/>
          <w:szCs w:val="26"/>
        </w:rPr>
        <w:t xml:space="preserve">8.2 Cyber Insurance Requirements</w:t>
      </w:r>
    </w:p>
    <w:p>
      <w:pPr>
        <w:spacing w:after="160"/>
      </w:pPr>
      <w:r>
        <w:rPr>
          <w:rFonts w:ascii="Arial" w:cs="Arial" w:eastAsia="Arial" w:hAnsi="Arial"/>
          <w:color w:val="2D3748"/>
          <w:sz w:val="22"/>
          <w:szCs w:val="22"/>
        </w:rPr>
        <w:t xml:space="preserve">Cyber insurance carriers increasingly evaluate password and authentication controls during underwriting. The following elements are commonly required or heavily weighted in applications and audits:</w:t>
      </w:r>
    </w:p>
    <w:p>
      <w:pPr>
        <w:pStyle w:val="ListParagraph"/>
        <w:numPr>
          <w:ilvl w:val="0"/>
          <w:numId w:val="12"/>
        </w:numPr>
        <w:spacing w:after="80"/>
      </w:pPr>
      <w:r>
        <w:rPr>
          <w:rFonts w:ascii="Arial" w:cs="Arial" w:eastAsia="Arial" w:hAnsi="Arial"/>
          <w:color w:val="2D3748"/>
          <w:sz w:val="22"/>
          <w:szCs w:val="22"/>
        </w:rPr>
        <w:t xml:space="preserve">MFA deployed on all remote access, email, and administrative accounts (this is a baseline requirement for most carriers and failure to implement may result in coverage denial)</w:t>
      </w:r>
    </w:p>
    <w:p>
      <w:pPr>
        <w:pStyle w:val="ListParagraph"/>
        <w:numPr>
          <w:ilvl w:val="0"/>
          <w:numId w:val="12"/>
        </w:numPr>
        <w:spacing w:after="80"/>
      </w:pPr>
      <w:r>
        <w:rPr>
          <w:rFonts w:ascii="Arial" w:cs="Arial" w:eastAsia="Arial" w:hAnsi="Arial"/>
          <w:color w:val="2D3748"/>
          <w:sz w:val="22"/>
          <w:szCs w:val="22"/>
        </w:rPr>
        <w:t xml:space="preserve">Documented password policy with defined minimum length, complexity, and rotation requirements</w:t>
      </w:r>
    </w:p>
    <w:p>
      <w:pPr>
        <w:pStyle w:val="ListParagraph"/>
        <w:numPr>
          <w:ilvl w:val="0"/>
          <w:numId w:val="12"/>
        </w:numPr>
        <w:spacing w:after="80"/>
      </w:pPr>
      <w:r>
        <w:rPr>
          <w:rFonts w:ascii="Arial" w:cs="Arial" w:eastAsia="Arial" w:hAnsi="Arial"/>
          <w:color w:val="2D3748"/>
          <w:sz w:val="22"/>
          <w:szCs w:val="22"/>
        </w:rPr>
        <w:t xml:space="preserve">Privileged access management (PAM) with separate admin accounts, session logging, and just-in-time provisioning</w:t>
      </w:r>
    </w:p>
    <w:p>
      <w:pPr>
        <w:pStyle w:val="ListParagraph"/>
        <w:numPr>
          <w:ilvl w:val="0"/>
          <w:numId w:val="12"/>
        </w:numPr>
        <w:spacing w:after="80"/>
      </w:pPr>
      <w:r>
        <w:rPr>
          <w:rFonts w:ascii="Arial" w:cs="Arial" w:eastAsia="Arial" w:hAnsi="Arial"/>
          <w:color w:val="2D3748"/>
          <w:sz w:val="22"/>
          <w:szCs w:val="22"/>
        </w:rPr>
        <w:t xml:space="preserve">Password manager deployment with verifiable adoption rates across the organization</w:t>
      </w:r>
    </w:p>
    <w:p>
      <w:pPr>
        <w:pStyle w:val="ListParagraph"/>
        <w:numPr>
          <w:ilvl w:val="0"/>
          <w:numId w:val="12"/>
        </w:numPr>
        <w:spacing w:after="80"/>
      </w:pPr>
      <w:r>
        <w:rPr>
          <w:rFonts w:ascii="Arial" w:cs="Arial" w:eastAsia="Arial" w:hAnsi="Arial"/>
          <w:color w:val="2D3748"/>
          <w:sz w:val="22"/>
          <w:szCs w:val="22"/>
        </w:rPr>
        <w:t xml:space="preserve">Breach monitoring and automated response procedures for compromised credentials</w:t>
      </w:r>
    </w:p>
    <w:p>
      <w:pPr>
        <w:pStyle w:val="ListParagraph"/>
        <w:numPr>
          <w:ilvl w:val="0"/>
          <w:numId w:val="12"/>
        </w:numPr>
        <w:spacing w:after="80"/>
      </w:pPr>
      <w:r>
        <w:rPr>
          <w:rFonts w:ascii="Arial" w:cs="Arial" w:eastAsia="Arial" w:hAnsi="Arial"/>
          <w:color w:val="2D3748"/>
          <w:sz w:val="22"/>
          <w:szCs w:val="22"/>
        </w:rPr>
        <w:t xml:space="preserve">Employee training on password security, phishing recognition, and credential hygiene with documented completion rates exceeding 95%</w:t>
      </w:r>
    </w:p>
    <w:p>
      <w:pPr>
        <w:pStyle w:val="ListParagraph"/>
        <w:numPr>
          <w:ilvl w:val="0"/>
          <w:numId w:val="12"/>
        </w:numPr>
        <w:spacing w:after="80"/>
      </w:pPr>
      <w:r>
        <w:rPr>
          <w:rFonts w:ascii="Arial" w:cs="Arial" w:eastAsia="Arial" w:hAnsi="Arial"/>
          <w:color w:val="2D3748"/>
          <w:sz w:val="22"/>
          <w:szCs w:val="22"/>
        </w:rPr>
        <w:t xml:space="preserve">Incident response procedures specifically addressing credential compromise scenarios with defined response timelines</w:t>
      </w:r>
    </w:p>
    <w:p>
      <w:pPr>
        <w:spacing w:after="1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
        <w:gridCol w:w="9280"/>
      </w:tblGrid>
      <w:tr>
        <w:tc>
          <w:tcPr>
            <w:tcW w:type="dxa" w:w="80"/>
            <w:tcBorders>
              <w:top w:val="none" w:color="FFFFFF" w:sz="0"/>
              <w:left w:val="none" w:color="FFFFFF" w:sz="0"/>
              <w:bottom w:val="none" w:color="FFFFFF" w:sz="0"/>
              <w:right w:val="none" w:color="FFFFFF" w:sz="0"/>
            </w:tcBorders>
            <w:shd w:fill="C8973E" w:val="clear"/>
          </w:tcPr>
          <w:p>
            <w:pPr>
              <w:spacing w:after="0"/>
            </w:pPr>
          </w:p>
        </w:tc>
        <w:tc>
          <w:tcPr>
            <w:tcW w:type="dxa" w:w="9280"/>
            <w:tcBorders>
              <w:top w:val="none" w:color="FFFFFF" w:sz="0"/>
              <w:left w:val="none" w:color="FFFFFF" w:sz="0"/>
              <w:bottom w:val="none" w:color="FFFFFF" w:sz="0"/>
              <w:right w:val="none" w:color="FFFFFF" w:sz="0"/>
            </w:tcBorders>
            <w:shd w:fill="FFFBF0" w:val="clear"/>
            <w:tcMar>
              <w:top w:type="dxa" w:w="200"/>
              <w:left w:type="dxa" w:w="200"/>
              <w:bottom w:type="dxa" w:w="200"/>
              <w:right w:type="dxa" w:w="200"/>
            </w:tcMar>
          </w:tcPr>
          <w:p>
            <w:pPr>
              <w:spacing w:after="80"/>
            </w:pPr>
            <w:r>
              <w:rPr>
                <w:rFonts w:ascii="Arial" w:cs="Arial" w:eastAsia="Arial" w:hAnsi="Arial"/>
                <w:b/>
                <w:bCs/>
                <w:color w:val="1B2B4B"/>
                <w:sz w:val="24"/>
                <w:szCs w:val="24"/>
              </w:rPr>
              <w:t xml:space="preserve">Need Help with Cyber Insurance Compliance?</w:t>
            </w:r>
          </w:p>
          <w:p>
            <w:pPr>
              <w:spacing w:after="0"/>
            </w:pPr>
            <w:r>
              <w:rPr>
                <w:rFonts w:ascii="Arial" w:cs="Arial" w:eastAsia="Arial" w:hAnsi="Arial"/>
                <w:color w:val="2D3748"/>
                <w:sz w:val="22"/>
                <w:szCs w:val="22"/>
              </w:rPr>
              <w:t xml:space="preserve">First Underwriters Insurance Brokers specializes in helping organizations align their security controls with cyber insurance underwriting requirements. Contact us at (425) 242-5357 to review your password policy and authentication controls as part of a comprehensive cyber risk assessment.</w:t>
            </w:r>
          </w:p>
        </w:tc>
      </w:tr>
    </w:tbl>
    <w:p>
      <w:r>
        <w:br w:type="page"/>
      </w:r>
    </w:p>
    <w:p>
      <w:pPr>
        <w:pStyle w:val="Heading1"/>
        <w:spacing w:before="360" w:after="200"/>
      </w:pPr>
      <w:r>
        <w:rPr>
          <w:rFonts w:ascii="Arial" w:cs="Arial" w:eastAsia="Arial" w:hAnsi="Arial"/>
          <w:b/>
          <w:bCs/>
          <w:color w:val="1B2B4B"/>
          <w:sz w:val="32"/>
          <w:szCs w:val="32"/>
        </w:rPr>
        <w:t xml:space="preserve">9. Enforcement and Training</w:t>
      </w:r>
    </w:p>
    <w:p>
      <w:pPr>
        <w:pStyle w:val="Heading2"/>
        <w:spacing w:before="280" w:after="160"/>
      </w:pPr>
      <w:r>
        <w:rPr>
          <w:rFonts w:ascii="Arial" w:cs="Arial" w:eastAsia="Arial" w:hAnsi="Arial"/>
          <w:b/>
          <w:bCs/>
          <w:color w:val="1B2B4B"/>
          <w:sz w:val="26"/>
          <w:szCs w:val="26"/>
        </w:rPr>
        <w:t xml:space="preserve">9.1 Enforcement</w:t>
      </w:r>
    </w:p>
    <w:p>
      <w:pPr>
        <w:spacing w:after="160"/>
      </w:pPr>
      <w:r>
        <w:rPr>
          <w:rFonts w:ascii="Arial" w:cs="Arial" w:eastAsia="Arial" w:hAnsi="Arial"/>
          <w:color w:val="2D3748"/>
          <w:sz w:val="22"/>
          <w:szCs w:val="22"/>
        </w:rPr>
        <w:t xml:space="preserve">Compliance with this policy is mandatory for all personnel within scope. Technical controls enforce requirements where feasible, and organizational processes address areas where technical enforcement is not possible.</w:t>
      </w:r>
    </w:p>
    <w:p>
      <w:pPr>
        <w:spacing w:before="200" w:after="120"/>
      </w:pPr>
      <w:r>
        <w:rPr>
          <w:rFonts w:ascii="Arial" w:cs="Arial" w:eastAsia="Arial" w:hAnsi="Arial"/>
          <w:b/>
          <w:bCs/>
          <w:color w:val="C8973E"/>
          <w:sz w:val="22"/>
          <w:szCs w:val="22"/>
        </w:rPr>
        <w:t xml:space="preserve">Technical Enforcement</w:t>
      </w:r>
    </w:p>
    <w:p>
      <w:pPr>
        <w:pStyle w:val="ListParagraph"/>
        <w:numPr>
          <w:ilvl w:val="0"/>
          <w:numId w:val="13"/>
        </w:numPr>
        <w:spacing w:after="80"/>
      </w:pPr>
      <w:r>
        <w:rPr>
          <w:rFonts w:ascii="Arial" w:cs="Arial" w:eastAsia="Arial" w:hAnsi="Arial"/>
          <w:color w:val="2D3748"/>
          <w:sz w:val="22"/>
          <w:szCs w:val="22"/>
        </w:rPr>
        <w:t xml:space="preserve">Active Directory / identity provider group policies enforce minimum length, complexity, history, and lockout requirements</w:t>
      </w:r>
    </w:p>
    <w:p>
      <w:pPr>
        <w:pStyle w:val="ListParagraph"/>
        <w:numPr>
          <w:ilvl w:val="0"/>
          <w:numId w:val="13"/>
        </w:numPr>
        <w:spacing w:after="80"/>
      </w:pPr>
      <w:r>
        <w:rPr>
          <w:rFonts w:ascii="Arial" w:cs="Arial" w:eastAsia="Arial" w:hAnsi="Arial"/>
          <w:color w:val="2D3748"/>
          <w:sz w:val="22"/>
          <w:szCs w:val="22"/>
        </w:rPr>
        <w:t xml:space="preserve">Conditional access policies block authentication without MFA on all covered systems</w:t>
      </w:r>
    </w:p>
    <w:p>
      <w:pPr>
        <w:pStyle w:val="ListParagraph"/>
        <w:numPr>
          <w:ilvl w:val="0"/>
          <w:numId w:val="13"/>
        </w:numPr>
        <w:spacing w:after="80"/>
      </w:pPr>
      <w:r>
        <w:rPr>
          <w:rFonts w:ascii="Arial" w:cs="Arial" w:eastAsia="Arial" w:hAnsi="Arial"/>
          <w:color w:val="2D3748"/>
          <w:sz w:val="22"/>
          <w:szCs w:val="22"/>
        </w:rPr>
        <w:t xml:space="preserve">Endpoint detection and response (EDR) agents monitor for credential-stealing malware and unauthorized password tools</w:t>
      </w:r>
    </w:p>
    <w:p>
      <w:pPr>
        <w:pStyle w:val="ListParagraph"/>
        <w:numPr>
          <w:ilvl w:val="0"/>
          <w:numId w:val="13"/>
        </w:numPr>
        <w:spacing w:after="80"/>
      </w:pPr>
      <w:r>
        <w:rPr>
          <w:rFonts w:ascii="Arial" w:cs="Arial" w:eastAsia="Arial" w:hAnsi="Arial"/>
          <w:color w:val="2D3748"/>
          <w:sz w:val="22"/>
          <w:szCs w:val="22"/>
        </w:rPr>
        <w:t xml:space="preserve">Automated scanning compares organizational passwords against breached credential databases on a recurring schedule</w:t>
      </w:r>
    </w:p>
    <w:p>
      <w:pPr>
        <w:spacing w:before="200" w:after="120"/>
      </w:pPr>
      <w:r>
        <w:rPr>
          <w:rFonts w:ascii="Arial" w:cs="Arial" w:eastAsia="Arial" w:hAnsi="Arial"/>
          <w:b/>
          <w:bCs/>
          <w:color w:val="C8973E"/>
          <w:sz w:val="22"/>
          <w:szCs w:val="22"/>
        </w:rPr>
        <w:t xml:space="preserve">Violation Response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3600"/>
        <w:gridCol w:w="3760"/>
      </w:tblGrid>
      <w:tr>
        <w:tc>
          <w:tcPr>
            <w:tcW w:type="dxa" w:w="20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Violation Level</w:t>
            </w:r>
          </w:p>
        </w:tc>
        <w:tc>
          <w:tcPr>
            <w:tcW w:type="dxa" w:w="36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Examples</w:t>
            </w:r>
          </w:p>
        </w:tc>
        <w:tc>
          <w:tcPr>
            <w:tcW w:type="dxa" w:w="37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Response</w:t>
            </w:r>
          </w:p>
        </w:tc>
      </w:tr>
      <w:tr>
        <w:tc>
          <w:tcPr>
            <w:tcW w:type="dxa" w:w="20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Minor (1st offense)</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Weak password detected, password manager not installed, training overdue</w:t>
            </w:r>
          </w:p>
        </w:tc>
        <w:tc>
          <w:tcPr>
            <w:tcW w:type="dxa" w:w="3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Written notification + mandatory remediation within 5 business days + refresher training module</w:t>
            </w:r>
          </w:p>
        </w:tc>
      </w:tr>
      <w:tr>
        <w:tc>
          <w:tcPr>
            <w:tcW w:type="dxa" w:w="20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Moderate (2nd / pattern)</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Password reuse detected, MFA bypass, sharing credentials with a colleague</w:t>
            </w:r>
          </w:p>
        </w:tc>
        <w:tc>
          <w:tcPr>
            <w:tcW w:type="dxa" w:w="3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Formal written warning + mandatory 1-hour security coaching session + enhanced monitoring for 90 days</w:t>
            </w:r>
          </w:p>
        </w:tc>
      </w:tr>
      <w:tr>
        <w:tc>
          <w:tcPr>
            <w:tcW w:type="dxa" w:w="20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Serious (3rd / willful)</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Repeated violations, deliberate policy circumvention, refusal to comply</w:t>
            </w:r>
          </w:p>
        </w:tc>
        <w:tc>
          <w:tcPr>
            <w:tcW w:type="dxa" w:w="37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Escalation to HR + access restrictions + performance improvement plan + potential disciplinary action</w:t>
            </w:r>
          </w:p>
        </w:tc>
      </w:tr>
      <w:tr>
        <w:tc>
          <w:tcPr>
            <w:tcW w:type="dxa" w:w="20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Critical (any count)</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Sharing admin credentials externally, selling access, sabotage</w:t>
            </w:r>
          </w:p>
        </w:tc>
        <w:tc>
          <w:tcPr>
            <w:tcW w:type="dxa" w:w="37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Immediate account suspension + HR and legal review + potential termination and legal action</w:t>
            </w:r>
          </w:p>
        </w:tc>
      </w:tr>
    </w:tbl>
    <w:p>
      <w:pPr>
        <w:spacing w:after="200"/>
      </w:pPr>
    </w:p>
    <w:p>
      <w:r>
        <w:br w:type="page"/>
      </w:r>
    </w:p>
    <w:p>
      <w:pPr>
        <w:pStyle w:val="Heading2"/>
        <w:spacing w:before="280" w:after="160"/>
      </w:pPr>
      <w:r>
        <w:rPr>
          <w:rFonts w:ascii="Arial" w:cs="Arial" w:eastAsia="Arial" w:hAnsi="Arial"/>
          <w:b/>
          <w:bCs/>
          <w:color w:val="1B2B4B"/>
          <w:sz w:val="26"/>
          <w:szCs w:val="26"/>
        </w:rPr>
        <w:t xml:space="preserve">9.2 Training Requirements</w:t>
      </w:r>
    </w:p>
    <w:p>
      <w:pPr>
        <w:spacing w:after="160"/>
      </w:pPr>
      <w:r>
        <w:rPr>
          <w:rFonts w:ascii="Arial" w:cs="Arial" w:eastAsia="Arial" w:hAnsi="Arial"/>
          <w:color w:val="2D3748"/>
          <w:sz w:val="22"/>
          <w:szCs w:val="22"/>
        </w:rPr>
        <w:t xml:space="preserve">All employees receive password and authentication training as part of the organization’s security awareness program. Training covers:</w:t>
      </w:r>
    </w:p>
    <w:p>
      <w:pPr>
        <w:pStyle w:val="ListParagraph"/>
        <w:numPr>
          <w:ilvl w:val="0"/>
          <w:numId w:val="14"/>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New hire onboarding (Day 1–5):</w:t>
      </w:r>
      <w:r>
        <w:rPr>
          <w:rFonts w:ascii="Arial" w:cs="Arial" w:eastAsia="Arial" w:hAnsi="Arial"/>
          <w:color w:val="2D3748"/>
          <w:sz w:val="22"/>
          <w:szCs w:val="22"/>
        </w:rPr>
        <w:t xml:space="preserve"> Password manager setup, MFA enrollment, passphrase creation, and policy overview with hands-on practice</w:t>
      </w:r>
    </w:p>
    <w:p>
      <w:pPr>
        <w:pStyle w:val="ListParagraph"/>
        <w:numPr>
          <w:ilvl w:val="0"/>
          <w:numId w:val="14"/>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Annual refresher:</w:t>
      </w:r>
      <w:r>
        <w:rPr>
          <w:rFonts w:ascii="Arial" w:cs="Arial" w:eastAsia="Arial" w:hAnsi="Arial"/>
          <w:color w:val="2D3748"/>
          <w:sz w:val="22"/>
          <w:szCs w:val="22"/>
        </w:rPr>
        <w:t xml:space="preserve"> Updated training on current threats, new attack techniques (e.g., AI-generated phishing, adversary-in-the-middle attacks), and policy changes</w:t>
      </w:r>
    </w:p>
    <w:p>
      <w:pPr>
        <w:pStyle w:val="ListParagraph"/>
        <w:numPr>
          <w:ilvl w:val="0"/>
          <w:numId w:val="14"/>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Post-incident remedial:</w:t>
      </w:r>
      <w:r>
        <w:rPr>
          <w:rFonts w:ascii="Arial" w:cs="Arial" w:eastAsia="Arial" w:hAnsi="Arial"/>
          <w:color w:val="2D3748"/>
          <w:sz w:val="22"/>
          <w:szCs w:val="22"/>
        </w:rPr>
        <w:t xml:space="preserve"> Targeted training within 10 business days following any password-related security incident or repeated phishing simulation failure</w:t>
      </w:r>
    </w:p>
    <w:p>
      <w:pPr>
        <w:pStyle w:val="ListParagraph"/>
        <w:numPr>
          <w:ilvl w:val="0"/>
          <w:numId w:val="14"/>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Role-specific:</w:t>
      </w:r>
      <w:r>
        <w:rPr>
          <w:rFonts w:ascii="Arial" w:cs="Arial" w:eastAsia="Arial" w:hAnsi="Arial"/>
          <w:color w:val="2D3748"/>
          <w:sz w:val="22"/>
          <w:szCs w:val="22"/>
        </w:rPr>
        <w:t xml:space="preserve"> Additional training for privileged account holders, IT administrators, and security champions covering PAM tools, break-glass procedures, and service account management</w:t>
      </w:r>
    </w:p>
    <w:p>
      <w:r>
        <w:br w:type="page"/>
      </w:r>
    </w:p>
    <w:p>
      <w:pPr>
        <w:pStyle w:val="Heading1"/>
        <w:spacing w:before="360" w:after="200"/>
      </w:pPr>
      <w:r>
        <w:rPr>
          <w:rFonts w:ascii="Arial" w:cs="Arial" w:eastAsia="Arial" w:hAnsi="Arial"/>
          <w:b/>
          <w:bCs/>
          <w:color w:val="1B2B4B"/>
          <w:sz w:val="32"/>
          <w:szCs w:val="32"/>
        </w:rPr>
        <w:t xml:space="preserve">10. Policy Review and Maintenance</w:t>
      </w:r>
    </w:p>
    <w:p>
      <w:pPr>
        <w:pStyle w:val="Heading2"/>
        <w:spacing w:before="280" w:after="160"/>
      </w:pPr>
      <w:r>
        <w:rPr>
          <w:rFonts w:ascii="Arial" w:cs="Arial" w:eastAsia="Arial" w:hAnsi="Arial"/>
          <w:b/>
          <w:bCs/>
          <w:color w:val="1B2B4B"/>
          <w:sz w:val="26"/>
          <w:szCs w:val="26"/>
        </w:rPr>
        <w:t xml:space="preserve">10.1 Review Schedule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3600"/>
        <w:gridCol w:w="3560"/>
      </w:tblGrid>
      <w:tr>
        <w:tc>
          <w:tcPr>
            <w:tcW w:type="dxa" w:w="22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Frequency</w:t>
            </w:r>
          </w:p>
        </w:tc>
        <w:tc>
          <w:tcPr>
            <w:tcW w:type="dxa" w:w="360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Review Activity</w:t>
            </w:r>
          </w:p>
        </w:tc>
        <w:tc>
          <w:tcPr>
            <w:tcW w:type="dxa" w:w="3560"/>
            <w:tcBorders>
              <w:top w:val="single" w:color="E2E8F0" w:sz="1"/>
              <w:left w:val="single" w:color="E2E8F0" w:sz="1"/>
              <w:bottom w:val="single" w:color="E2E8F0" w:sz="1"/>
              <w:right w:val="single" w:color="E2E8F0" w:sz="1"/>
            </w:tcBorders>
            <w:shd w:fill="1B2B4B" w:val="clear"/>
            <w:tcMar>
              <w:top w:type="dxa" w:w="80"/>
              <w:left w:type="dxa" w:w="120"/>
              <w:bottom w:type="dxa" w:w="80"/>
              <w:right w:type="dxa" w:w="120"/>
            </w:tcMar>
            <w:vAlign w:val="center"/>
          </w:tcPr>
          <w:p>
            <w:r>
              <w:rPr>
                <w:rFonts w:ascii="Arial" w:cs="Arial" w:eastAsia="Arial" w:hAnsi="Arial"/>
                <w:b/>
                <w:bCs/>
                <w:color w:val="FFFFFF"/>
                <w:sz w:val="20"/>
                <w:szCs w:val="20"/>
              </w:rPr>
              <w:t xml:space="preserve">Responsible Party</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Quarterly</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Review password metrics (breach monitoring hits, lockout frequency, MFA adoption rates)</w:t>
            </w:r>
          </w:p>
        </w:tc>
        <w:tc>
          <w:tcPr>
            <w:tcW w:type="dxa" w:w="35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IT Security Manager</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Semi-annual</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Assess policy alignment with current threat landscape, new attack techniques, and vendor advisories</w:t>
            </w:r>
          </w:p>
        </w:tc>
        <w:tc>
          <w:tcPr>
            <w:tcW w:type="dxa" w:w="35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IT Security Team</w:t>
            </w:r>
          </w:p>
        </w:tc>
      </w:tr>
      <w:tr>
        <w:tc>
          <w:tcPr>
            <w:tcW w:type="dxa" w:w="22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Annual</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Comprehensive policy review and update including regulatory changes, insurance requirements, and technology updates</w:t>
            </w:r>
          </w:p>
        </w:tc>
        <w:tc>
          <w:tcPr>
            <w:tcW w:type="dxa" w:w="3560"/>
            <w:tcBorders>
              <w:top w:val="single" w:color="E2E8F0" w:sz="1"/>
              <w:left w:val="single" w:color="E2E8F0" w:sz="1"/>
              <w:bottom w:val="single" w:color="E2E8F0" w:sz="1"/>
              <w:right w:val="single" w:color="E2E8F0" w:sz="1"/>
            </w:tcBorders>
            <w:shd w:fill="FFFFFF"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CISO / IT Director</w:t>
            </w:r>
          </w:p>
        </w:tc>
      </w:tr>
      <w:tr>
        <w:tc>
          <w:tcPr>
            <w:tcW w:type="dxa" w:w="22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
            </w:r>
            <w:r>
              <w:rPr>
                <w:rFonts w:ascii="Arial" w:cs="Arial" w:eastAsia="Arial" w:hAnsi="Arial"/>
                <w:b/>
                <w:bCs/>
                <w:color w:val="2D3748"/>
                <w:sz w:val="22"/>
                <w:szCs w:val="22"/>
              </w:rPr>
              <w:t xml:space="preserve">As needed</w:t>
            </w:r>
            <w:r>
              <w:rPr>
                <w:rFonts w:ascii="Arial" w:cs="Arial" w:eastAsia="Arial" w:hAnsi="Arial"/>
                <w:color w:val="2D3748"/>
                <w:sz w:val="22"/>
                <w:szCs w:val="22"/>
              </w:rPr>
              <w:t xml:space="preserve"/>
            </w:r>
          </w:p>
        </w:tc>
        <w:tc>
          <w:tcPr>
            <w:tcW w:type="dxa" w:w="360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Emergency updates following significant security incidents, regulatory changes, or cyber insurance policy modifications</w:t>
            </w:r>
          </w:p>
        </w:tc>
        <w:tc>
          <w:tcPr>
            <w:tcW w:type="dxa" w:w="3560"/>
            <w:tcBorders>
              <w:top w:val="single" w:color="E2E8F0" w:sz="1"/>
              <w:left w:val="single" w:color="E2E8F0" w:sz="1"/>
              <w:bottom w:val="single" w:color="E2E8F0" w:sz="1"/>
              <w:right w:val="single" w:color="E2E8F0" w:sz="1"/>
            </w:tcBorders>
            <w:shd w:fill="F7FAFC" w:val="clear"/>
            <w:tcMar>
              <w:top w:type="dxa" w:w="80"/>
              <w:left w:type="dxa" w:w="120"/>
              <w:bottom w:type="dxa" w:w="80"/>
              <w:right w:type="dxa" w:w="120"/>
            </w:tcMar>
            <w:vAlign w:val="top"/>
          </w:tcPr>
          <w:p>
            <w:pPr>
              <w:spacing w:after="0"/>
            </w:pPr>
            <w:r>
              <w:rPr>
                <w:rFonts w:ascii="Arial" w:cs="Arial" w:eastAsia="Arial" w:hAnsi="Arial"/>
                <w:color w:val="2D3748"/>
                <w:sz w:val="22"/>
                <w:szCs w:val="22"/>
              </w:rPr>
              <w:t xml:space="preserve">IT Security Manager + Legal</w:t>
            </w:r>
          </w:p>
        </w:tc>
      </w:tr>
    </w:tbl>
    <w:p>
      <w:pPr>
        <w:spacing w:after="200"/>
      </w:pPr>
    </w:p>
    <w:p>
      <w:pPr>
        <w:pStyle w:val="Heading2"/>
        <w:spacing w:before="280" w:after="160"/>
      </w:pPr>
      <w:r>
        <w:rPr>
          <w:rFonts w:ascii="Arial" w:cs="Arial" w:eastAsia="Arial" w:hAnsi="Arial"/>
          <w:b/>
          <w:bCs/>
          <w:color w:val="1B2B4B"/>
          <w:sz w:val="26"/>
          <w:szCs w:val="26"/>
        </w:rPr>
        <w:t xml:space="preserve">10.2 Continuous Improvement</w:t>
      </w:r>
    </w:p>
    <w:p>
      <w:pPr>
        <w:pStyle w:val="ListParagraph"/>
        <w:numPr>
          <w:ilvl w:val="0"/>
          <w:numId w:val="15"/>
        </w:numPr>
        <w:spacing w:after="100"/>
      </w:pPr>
      <w:r>
        <w:rPr>
          <w:rFonts w:ascii="Arial" w:cs="Arial" w:eastAsia="Arial" w:hAnsi="Arial"/>
          <w:color w:val="2D3748"/>
          <w:sz w:val="22"/>
          <w:szCs w:val="22"/>
        </w:rPr>
        <w:t xml:space="preserve">Analyze credential-related security incidents and near-misses to identify policy gaps or enforcement weaknesses</w:t>
      </w:r>
    </w:p>
    <w:p>
      <w:pPr>
        <w:pStyle w:val="ListParagraph"/>
        <w:numPr>
          <w:ilvl w:val="0"/>
          <w:numId w:val="15"/>
        </w:numPr>
        <w:spacing w:after="100"/>
      </w:pPr>
      <w:r>
        <w:rPr>
          <w:rFonts w:ascii="Arial" w:cs="Arial" w:eastAsia="Arial" w:hAnsi="Arial"/>
          <w:color w:val="2D3748"/>
          <w:sz w:val="22"/>
          <w:szCs w:val="22"/>
        </w:rPr>
        <w:t xml:space="preserve">Collect employee feedback on password manager usability, MFA friction, and policy clarity through annual surveys</w:t>
      </w:r>
    </w:p>
    <w:p>
      <w:pPr>
        <w:pStyle w:val="ListParagraph"/>
        <w:numPr>
          <w:ilvl w:val="0"/>
          <w:numId w:val="15"/>
        </w:numPr>
        <w:spacing w:after="100"/>
      </w:pPr>
      <w:r>
        <w:rPr>
          <w:rFonts w:ascii="Arial" w:cs="Arial" w:eastAsia="Arial" w:hAnsi="Arial"/>
          <w:color w:val="2D3748"/>
          <w:sz w:val="22"/>
          <w:szCs w:val="22"/>
        </w:rPr>
        <w:t xml:space="preserve">Benchmark password metrics against industry standards and peer organizations</w:t>
      </w:r>
    </w:p>
    <w:p>
      <w:pPr>
        <w:pStyle w:val="ListParagraph"/>
        <w:numPr>
          <w:ilvl w:val="0"/>
          <w:numId w:val="15"/>
        </w:numPr>
        <w:spacing w:after="100"/>
      </w:pPr>
      <w:r>
        <w:rPr>
          <w:rFonts w:ascii="Arial" w:cs="Arial" w:eastAsia="Arial" w:hAnsi="Arial"/>
          <w:color w:val="2D3748"/>
          <w:sz w:val="22"/>
          <w:szCs w:val="22"/>
        </w:rPr>
        <w:t xml:space="preserve">Monitor NIST, CISA, and industry-specific regulatory updates for changes affecting authentication requirements</w:t>
      </w:r>
    </w:p>
    <w:p>
      <w:pPr>
        <w:pStyle w:val="ListParagraph"/>
        <w:numPr>
          <w:ilvl w:val="0"/>
          <w:numId w:val="15"/>
        </w:numPr>
        <w:spacing w:after="100"/>
      </w:pPr>
      <w:r>
        <w:rPr>
          <w:rFonts w:ascii="Arial" w:cs="Arial" w:eastAsia="Arial" w:hAnsi="Arial"/>
          <w:color w:val="2D3748"/>
          <w:sz w:val="22"/>
          <w:szCs w:val="22"/>
        </w:rPr>
        <w:t xml:space="preserve">Test new authentication technologies (passkeys, FIDO2 expansion, biometric options) and update the policy to reflect approved methods</w:t>
      </w:r>
    </w:p>
    <w:p>
      <w:pPr>
        <w:pStyle w:val="ListParagraph"/>
        <w:numPr>
          <w:ilvl w:val="0"/>
          <w:numId w:val="15"/>
        </w:numPr>
        <w:spacing w:after="100"/>
      </w:pPr>
      <w:r>
        <w:rPr>
          <w:rFonts w:ascii="Arial" w:cs="Arial" w:eastAsia="Arial" w:hAnsi="Arial"/>
          <w:color w:val="2D3748"/>
          <w:sz w:val="22"/>
          <w:szCs w:val="22"/>
        </w:rPr>
        <w:t xml:space="preserve">Review cyber insurance renewal questionnaires to ensure policy documentation meets evolving underwriting expectations</w:t>
      </w:r>
    </w:p>
    <w:p>
      <w:pPr>
        <w:spacing w:after="200"/>
      </w:pPr>
    </w:p>
    <w:p>
      <w:pPr>
        <w:pStyle w:val="Heading1"/>
        <w:spacing w:before="360" w:after="200"/>
      </w:pPr>
      <w:r>
        <w:rPr>
          <w:rFonts w:ascii="Arial" w:cs="Arial" w:eastAsia="Arial" w:hAnsi="Arial"/>
          <w:b/>
          <w:bCs/>
          <w:color w:val="1B2B4B"/>
          <w:sz w:val="32"/>
          <w:szCs w:val="32"/>
        </w:rPr>
        <w:t xml:space="preserve">11. Appendices</w:t>
      </w:r>
    </w:p>
    <w:p>
      <w:pPr>
        <w:pStyle w:val="Heading2"/>
        <w:spacing w:before="280" w:after="160"/>
      </w:pPr>
      <w:r>
        <w:rPr>
          <w:rFonts w:ascii="Arial" w:cs="Arial" w:eastAsia="Arial" w:hAnsi="Arial"/>
          <w:b/>
          <w:bCs/>
          <w:color w:val="1B2B4B"/>
          <w:sz w:val="26"/>
          <w:szCs w:val="26"/>
        </w:rPr>
        <w:t xml:space="preserve">Appendix A: Customization Checklist</w:t>
      </w:r>
    </w:p>
    <w:p>
      <w:pPr>
        <w:spacing w:after="160"/>
      </w:pPr>
      <w:r>
        <w:rPr>
          <w:rFonts w:ascii="Arial" w:cs="Arial" w:eastAsia="Arial" w:hAnsi="Arial"/>
          <w:color w:val="2D3748"/>
          <w:sz w:val="22"/>
          <w:szCs w:val="22"/>
        </w:rPr>
        <w:t xml:space="preserve">Before distributing this policy, complete the following customizations:</w:t>
      </w:r>
    </w:p>
    <w:p>
      <w:pPr>
        <w:pStyle w:val="ListParagraph"/>
        <w:numPr>
          <w:ilvl w:val="0"/>
          <w:numId w:val="16"/>
        </w:numPr>
        <w:spacing w:after="80"/>
      </w:pPr>
      <w:r>
        <w:rPr>
          <w:rFonts w:ascii="Arial" w:cs="Arial" w:eastAsia="Arial" w:hAnsi="Arial"/>
          <w:color w:val="2D3748"/>
          <w:sz w:val="22"/>
          <w:szCs w:val="22"/>
        </w:rPr>
        <w:t xml:space="preserve">Replace all placeholder text ([Organization Name], [Date], [Author]) with actual values</w:t>
      </w:r>
    </w:p>
    <w:p>
      <w:pPr>
        <w:pStyle w:val="ListParagraph"/>
        <w:numPr>
          <w:ilvl w:val="0"/>
          <w:numId w:val="16"/>
        </w:numPr>
        <w:spacing w:after="80"/>
      </w:pPr>
      <w:r>
        <w:rPr>
          <w:rFonts w:ascii="Arial" w:cs="Arial" w:eastAsia="Arial" w:hAnsi="Arial"/>
          <w:color w:val="2D3748"/>
          <w:sz w:val="22"/>
          <w:szCs w:val="22"/>
        </w:rPr>
        <w:t xml:space="preserve">Review and adjust password length and complexity minimums based on your risk profile and regulatory requirements</w:t>
      </w:r>
    </w:p>
    <w:p>
      <w:pPr>
        <w:pStyle w:val="ListParagraph"/>
        <w:numPr>
          <w:ilvl w:val="0"/>
          <w:numId w:val="16"/>
        </w:numPr>
        <w:spacing w:after="80"/>
      </w:pPr>
      <w:r>
        <w:rPr>
          <w:rFonts w:ascii="Arial" w:cs="Arial" w:eastAsia="Arial" w:hAnsi="Arial"/>
          <w:color w:val="2D3748"/>
          <w:sz w:val="22"/>
          <w:szCs w:val="22"/>
        </w:rPr>
        <w:t xml:space="preserve">Update the MFA coverage table to reflect your actual systems and approved authentication methods</w:t>
      </w:r>
    </w:p>
    <w:p>
      <w:pPr>
        <w:pStyle w:val="ListParagraph"/>
        <w:numPr>
          <w:ilvl w:val="0"/>
          <w:numId w:val="16"/>
        </w:numPr>
        <w:spacing w:after="80"/>
      </w:pPr>
      <w:r>
        <w:rPr>
          <w:rFonts w:ascii="Arial" w:cs="Arial" w:eastAsia="Arial" w:hAnsi="Arial"/>
          <w:color w:val="2D3748"/>
          <w:sz w:val="22"/>
          <w:szCs w:val="22"/>
        </w:rPr>
        <w:t xml:space="preserve">Configure your identity provider and Active Directory policies to enforce the requirements specified in Section 3</w:t>
      </w:r>
    </w:p>
    <w:p>
      <w:pPr>
        <w:pStyle w:val="ListParagraph"/>
        <w:numPr>
          <w:ilvl w:val="0"/>
          <w:numId w:val="16"/>
        </w:numPr>
        <w:spacing w:after="80"/>
      </w:pPr>
      <w:r>
        <w:rPr>
          <w:rFonts w:ascii="Arial" w:cs="Arial" w:eastAsia="Arial" w:hAnsi="Arial"/>
          <w:color w:val="2D3748"/>
          <w:sz w:val="22"/>
          <w:szCs w:val="22"/>
        </w:rPr>
        <w:t xml:space="preserve">Deploy and configure the approved password manager across all endpoints</w:t>
      </w:r>
    </w:p>
    <w:p>
      <w:pPr>
        <w:pStyle w:val="ListParagraph"/>
        <w:numPr>
          <w:ilvl w:val="0"/>
          <w:numId w:val="16"/>
        </w:numPr>
        <w:spacing w:after="80"/>
      </w:pPr>
      <w:r>
        <w:rPr>
          <w:rFonts w:ascii="Arial" w:cs="Arial" w:eastAsia="Arial" w:hAnsi="Arial"/>
          <w:color w:val="2D3748"/>
          <w:sz w:val="22"/>
          <w:szCs w:val="22"/>
        </w:rPr>
        <w:t xml:space="preserve">Set up breach monitoring services and configure alert workflows</w:t>
      </w:r>
    </w:p>
    <w:p>
      <w:pPr>
        <w:pStyle w:val="ListParagraph"/>
        <w:numPr>
          <w:ilvl w:val="0"/>
          <w:numId w:val="16"/>
        </w:numPr>
        <w:spacing w:after="80"/>
      </w:pPr>
      <w:r>
        <w:rPr>
          <w:rFonts w:ascii="Arial" w:cs="Arial" w:eastAsia="Arial" w:hAnsi="Arial"/>
          <w:color w:val="2D3748"/>
          <w:sz w:val="22"/>
          <w:szCs w:val="22"/>
        </w:rPr>
        <w:t xml:space="preserve">Customize the violation response table to align with your HR policies and employee handbook</w:t>
      </w:r>
    </w:p>
    <w:p>
      <w:pPr>
        <w:pStyle w:val="ListParagraph"/>
        <w:numPr>
          <w:ilvl w:val="0"/>
          <w:numId w:val="16"/>
        </w:numPr>
        <w:spacing w:after="80"/>
      </w:pPr>
      <w:r>
        <w:rPr>
          <w:rFonts w:ascii="Arial" w:cs="Arial" w:eastAsia="Arial" w:hAnsi="Arial"/>
          <w:color w:val="2D3748"/>
          <w:sz w:val="22"/>
          <w:szCs w:val="22"/>
        </w:rPr>
        <w:t xml:space="preserve">Schedule the first quarterly metrics review and annual policy review dates</w:t>
      </w:r>
    </w:p>
    <w:p>
      <w:pPr>
        <w:pStyle w:val="ListParagraph"/>
        <w:numPr>
          <w:ilvl w:val="0"/>
          <w:numId w:val="16"/>
        </w:numPr>
        <w:spacing w:after="80"/>
      </w:pPr>
      <w:r>
        <w:rPr>
          <w:rFonts w:ascii="Arial" w:cs="Arial" w:eastAsia="Arial" w:hAnsi="Arial"/>
          <w:color w:val="2D3748"/>
          <w:sz w:val="22"/>
          <w:szCs w:val="22"/>
        </w:rPr>
        <w:t xml:space="preserve">Distribute the policy and collect signed acknowledgment forms from all personnel</w:t>
      </w:r>
    </w:p>
    <w:p>
      <w:pPr>
        <w:spacing w:after="160"/>
      </w:pPr>
    </w:p>
    <w:p>
      <w:pPr>
        <w:pStyle w:val="Heading2"/>
        <w:spacing w:before="280" w:after="160"/>
      </w:pPr>
      <w:r>
        <w:rPr>
          <w:rFonts w:ascii="Arial" w:cs="Arial" w:eastAsia="Arial" w:hAnsi="Arial"/>
          <w:b/>
          <w:bCs/>
          <w:color w:val="1B2B4B"/>
          <w:sz w:val="26"/>
          <w:szCs w:val="26"/>
        </w:rPr>
        <w:t xml:space="preserve">Appendix B: Companion Resources</w:t>
      </w:r>
    </w:p>
    <w:p>
      <w:pPr>
        <w:spacing w:after="160"/>
      </w:pPr>
      <w:r>
        <w:rPr>
          <w:rFonts w:ascii="Arial" w:cs="Arial" w:eastAsia="Arial" w:hAnsi="Arial"/>
          <w:color w:val="2D3748"/>
          <w:sz w:val="22"/>
          <w:szCs w:val="22"/>
        </w:rPr>
        <w:t xml:space="preserve">This Password Policy Template is part of the First Underwriters "Password Security: From Weak Links to Strong Defense" resource series. Companion resources include:</w:t>
      </w:r>
    </w:p>
    <w:p>
      <w:pPr>
        <w:pStyle w:val="ListParagraph"/>
        <w:numPr>
          <w:ilvl w:val="0"/>
          <w:numId w:val="2"/>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Security Awareness Program Template</w:t>
      </w:r>
      <w:r>
        <w:rPr>
          <w:rFonts w:ascii="Arial" w:cs="Arial" w:eastAsia="Arial" w:hAnsi="Arial"/>
          <w:color w:val="2D3748"/>
          <w:sz w:val="22"/>
          <w:szCs w:val="22"/>
        </w:rPr>
        <w:t xml:space="preserve"> (Word) — Complete framework for building an employee training program including phishing simulations, role-based training, and metrics tracking</w:t>
      </w:r>
    </w:p>
    <w:p>
      <w:pPr>
        <w:pStyle w:val="ListParagraph"/>
        <w:numPr>
          <w:ilvl w:val="0"/>
          <w:numId w:val="2"/>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Phishing Simulation Metrics Tracker</w:t>
      </w:r>
      <w:r>
        <w:rPr>
          <w:rFonts w:ascii="Arial" w:cs="Arial" w:eastAsia="Arial" w:hAnsi="Arial"/>
          <w:color w:val="2D3748"/>
          <w:sz w:val="22"/>
          <w:szCs w:val="22"/>
        </w:rPr>
        <w:t xml:space="preserve"> (Excel) — Track simulation results, department performance, click rates, and report rates over time</w:t>
      </w:r>
    </w:p>
    <w:p>
      <w:pPr>
        <w:pStyle w:val="ListParagraph"/>
        <w:numPr>
          <w:ilvl w:val="0"/>
          <w:numId w:val="2"/>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Incident Response Template</w:t>
      </w:r>
      <w:r>
        <w:rPr>
          <w:rFonts w:ascii="Arial" w:cs="Arial" w:eastAsia="Arial" w:hAnsi="Arial"/>
          <w:color w:val="2D3748"/>
          <w:sz w:val="22"/>
          <w:szCs w:val="22"/>
        </w:rPr>
        <w:t xml:space="preserve"> (Word) — Step-by-step incident response procedures including credential compromise scenarios</w:t>
      </w:r>
    </w:p>
    <w:p>
      <w:pPr>
        <w:pStyle w:val="ListParagraph"/>
        <w:numPr>
          <w:ilvl w:val="0"/>
          <w:numId w:val="2"/>
        </w:numPr>
        <w:spacing w:after="100"/>
      </w:pPr>
      <w:r>
        <w:rPr>
          <w:rFonts w:ascii="Arial" w:cs="Arial" w:eastAsia="Arial" w:hAnsi="Arial"/>
          <w:color w:val="2D3748"/>
          <w:sz w:val="22"/>
          <w:szCs w:val="22"/>
        </w:rPr>
        <w:t xml:space="preserve"/>
      </w:r>
      <w:r>
        <w:rPr>
          <w:rFonts w:ascii="Arial" w:cs="Arial" w:eastAsia="Arial" w:hAnsi="Arial"/>
          <w:b/>
          <w:bCs/>
          <w:color w:val="2D3748"/>
          <w:sz w:val="22"/>
          <w:szCs w:val="22"/>
        </w:rPr>
        <w:t xml:space="preserve">Security Controls Assessment</w:t>
      </w:r>
      <w:r>
        <w:rPr>
          <w:rFonts w:ascii="Arial" w:cs="Arial" w:eastAsia="Arial" w:hAnsi="Arial"/>
          <w:color w:val="2D3748"/>
          <w:sz w:val="22"/>
          <w:szCs w:val="22"/>
        </w:rPr>
        <w:t xml:space="preserve"> (Excel) — Evaluate your organization’s security controls against industry frameworks including password and authentication requirements</w:t>
      </w:r>
    </w:p>
    <w:p>
      <w:pPr>
        <w:spacing w:after="200"/>
      </w:pPr>
    </w:p>
    <w:p>
      <w:r>
        <w:br w:type="page"/>
      </w:r>
    </w:p>
    <w:p>
      <w:pPr>
        <w:pStyle w:val="Heading2"/>
        <w:spacing w:before="280" w:after="160"/>
      </w:pPr>
      <w:r>
        <w:rPr>
          <w:rFonts w:ascii="Arial" w:cs="Arial" w:eastAsia="Arial" w:hAnsi="Arial"/>
          <w:b/>
          <w:bCs/>
          <w:color w:val="1B2B4B"/>
          <w:sz w:val="26"/>
          <w:szCs w:val="26"/>
        </w:rPr>
        <w:t xml:space="preserve">Appendix C: Policy Acknowledgment Form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
        <w:gridCol w:w="9280"/>
      </w:tblGrid>
      <w:tr>
        <w:tc>
          <w:tcPr>
            <w:tcW w:type="dxa" w:w="80"/>
            <w:tcBorders>
              <w:top w:val="none" w:color="FFFFFF" w:sz="0"/>
              <w:left w:val="none" w:color="FFFFFF" w:sz="0"/>
              <w:bottom w:val="none" w:color="FFFFFF" w:sz="0"/>
              <w:right w:val="none" w:color="FFFFFF" w:sz="0"/>
            </w:tcBorders>
            <w:shd w:fill="C8973E" w:val="clear"/>
          </w:tcPr>
          <w:p>
            <w:pPr>
              <w:spacing w:after="0"/>
            </w:pPr>
          </w:p>
        </w:tc>
        <w:tc>
          <w:tcPr>
            <w:tcW w:type="dxa" w:w="9280"/>
            <w:tcBorders>
              <w:top w:val="none" w:color="FFFFFF" w:sz="0"/>
              <w:left w:val="none" w:color="FFFFFF" w:sz="0"/>
              <w:bottom w:val="none" w:color="FFFFFF" w:sz="0"/>
              <w:right w:val="none" w:color="FFFFFF" w:sz="0"/>
            </w:tcBorders>
            <w:shd w:fill="FFFBF0" w:val="clear"/>
            <w:tcMar>
              <w:top w:type="dxa" w:w="300"/>
              <w:left w:type="dxa" w:w="300"/>
              <w:bottom w:type="dxa" w:w="300"/>
              <w:right w:type="dxa" w:w="300"/>
            </w:tcMar>
          </w:tcPr>
          <w:p>
            <w:pPr>
              <w:spacing w:after="160"/>
            </w:pPr>
            <w:r>
              <w:rPr>
                <w:rFonts w:ascii="Arial" w:cs="Arial" w:eastAsia="Arial" w:hAnsi="Arial"/>
                <w:b/>
                <w:bCs/>
                <w:color w:val="1B2B4B"/>
                <w:sz w:val="24"/>
                <w:szCs w:val="24"/>
              </w:rPr>
              <w:t xml:space="preserve">POLICY ACKNOWLEDGMENT</w:t>
            </w:r>
          </w:p>
          <w:p>
            <w:pPr>
              <w:spacing w:after="240"/>
            </w:pPr>
            <w:r>
              <w:rPr>
                <w:rFonts w:ascii="Arial" w:cs="Arial" w:eastAsia="Arial" w:hAnsi="Arial"/>
                <w:color w:val="2D3748"/>
                <w:sz w:val="22"/>
                <w:szCs w:val="22"/>
              </w:rPr>
              <w:t xml:space="preserve">I acknowledge that I have received, read, and understand the organization’s Password Policy. I agree to comply with all requirements outlined in this policy, including the use of the approved password manager, multi-factor authentication enrollment, and all prohibited practices. I understand that violation of this policy may result in disciplinary action up to and including termination.</w:t>
            </w:r>
          </w:p>
          <w:p>
            <w:pPr>
              <w:spacing w:after="160"/>
            </w:pPr>
            <w:r>
              <w:rPr>
                <w:rFonts w:ascii="Arial" w:cs="Arial" w:eastAsia="Arial" w:hAnsi="Arial"/>
                <w:b/>
                <w:bCs/>
                <w:color w:val="2D3748"/>
                <w:sz w:val="22"/>
                <w:szCs w:val="22"/>
              </w:rPr>
              <w:t xml:space="preserve">Employee Name: </w:t>
            </w:r>
            <w:r>
              <w:rPr>
                <w:rFonts w:ascii="Arial" w:cs="Arial" w:eastAsia="Arial" w:hAnsi="Arial"/>
                <w:color w:val="718096"/>
                <w:sz w:val="22"/>
                <w:szCs w:val="22"/>
              </w:rPr>
              <w:t xml:space="preserve">________________________________________</w:t>
            </w:r>
          </w:p>
          <w:p>
            <w:pPr>
              <w:spacing w:after="160"/>
            </w:pPr>
            <w:r>
              <w:rPr>
                <w:rFonts w:ascii="Arial" w:cs="Arial" w:eastAsia="Arial" w:hAnsi="Arial"/>
                <w:b/>
                <w:bCs/>
                <w:color w:val="2D3748"/>
                <w:sz w:val="22"/>
                <w:szCs w:val="22"/>
              </w:rPr>
              <w:t xml:space="preserve">Date: </w:t>
            </w:r>
            <w:r>
              <w:rPr>
                <w:rFonts w:ascii="Arial" w:cs="Arial" w:eastAsia="Arial" w:hAnsi="Arial"/>
                <w:color w:val="718096"/>
                <w:sz w:val="22"/>
                <w:szCs w:val="22"/>
              </w:rPr>
              <w:t xml:space="preserve">________________________________________</w:t>
            </w:r>
          </w:p>
          <w:p>
            <w:pPr>
              <w:spacing w:after="120"/>
            </w:pPr>
          </w:p>
          <w:p>
            <w:pPr>
              <w:spacing w:after="160"/>
            </w:pPr>
            <w:r>
              <w:rPr>
                <w:rFonts w:ascii="Arial" w:cs="Arial" w:eastAsia="Arial" w:hAnsi="Arial"/>
                <w:b/>
                <w:bCs/>
                <w:color w:val="2D3748"/>
                <w:sz w:val="22"/>
                <w:szCs w:val="22"/>
              </w:rPr>
              <w:t xml:space="preserve">Signature: </w:t>
            </w:r>
            <w:r>
              <w:rPr>
                <w:rFonts w:ascii="Arial" w:cs="Arial" w:eastAsia="Arial" w:hAnsi="Arial"/>
                <w:color w:val="718096"/>
                <w:sz w:val="22"/>
                <w:szCs w:val="22"/>
              </w:rPr>
              <w:t xml:space="preserve">________________________________________</w:t>
            </w:r>
          </w:p>
          <w:p>
            <w:pPr>
              <w:spacing w:after="160"/>
            </w:pPr>
            <w:r>
              <w:rPr>
                <w:rFonts w:ascii="Arial" w:cs="Arial" w:eastAsia="Arial" w:hAnsi="Arial"/>
                <w:b/>
                <w:bCs/>
                <w:color w:val="2D3748"/>
                <w:sz w:val="22"/>
                <w:szCs w:val="22"/>
              </w:rPr>
              <w:t xml:space="preserve">Department: </w:t>
            </w:r>
            <w:r>
              <w:rPr>
                <w:rFonts w:ascii="Arial" w:cs="Arial" w:eastAsia="Arial" w:hAnsi="Arial"/>
                <w:color w:val="718096"/>
                <w:sz w:val="22"/>
                <w:szCs w:val="22"/>
              </w:rPr>
              <w:t xml:space="preserve">________________________________________</w:t>
            </w:r>
          </w:p>
          <w:p>
            <w:pPr>
              <w:spacing w:after="120"/>
            </w:pPr>
          </w:p>
          <w:p>
            <w:pPr>
              <w:spacing w:after="160"/>
            </w:pPr>
            <w:r>
              <w:rPr>
                <w:rFonts w:ascii="Arial" w:cs="Arial" w:eastAsia="Arial" w:hAnsi="Arial"/>
                <w:b/>
                <w:bCs/>
                <w:color w:val="2D3748"/>
                <w:sz w:val="22"/>
                <w:szCs w:val="22"/>
              </w:rPr>
              <w:t xml:space="preserve">Manager Name: </w:t>
            </w:r>
            <w:r>
              <w:rPr>
                <w:rFonts w:ascii="Arial" w:cs="Arial" w:eastAsia="Arial" w:hAnsi="Arial"/>
                <w:color w:val="718096"/>
                <w:sz w:val="22"/>
                <w:szCs w:val="22"/>
              </w:rPr>
              <w:t xml:space="preserve">________________________________________</w:t>
            </w:r>
          </w:p>
          <w:p>
            <w:pPr>
              <w:spacing w:after="160"/>
            </w:pPr>
            <w:r>
              <w:rPr>
                <w:rFonts w:ascii="Arial" w:cs="Arial" w:eastAsia="Arial" w:hAnsi="Arial"/>
                <w:b/>
                <w:bCs/>
                <w:color w:val="2D3748"/>
                <w:sz w:val="22"/>
                <w:szCs w:val="22"/>
              </w:rPr>
              <w:t xml:space="preserve">Manager Signature: </w:t>
            </w:r>
            <w:r>
              <w:rPr>
                <w:rFonts w:ascii="Arial" w:cs="Arial" w:eastAsia="Arial" w:hAnsi="Arial"/>
                <w:color w:val="718096"/>
                <w:sz w:val="22"/>
                <w:szCs w:val="22"/>
              </w:rPr>
              <w:t xml:space="preserve">________________________________________</w:t>
            </w:r>
          </w:p>
        </w:tc>
      </w:tr>
    </w:tbl>
    <w:p>
      <w:pPr>
        <w:spacing w:after="3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 w:hRule="exact"/>
        </w:trPr>
        <w:tc>
          <w:tcPr>
            <w:tcW w:type="dxa" w:w="9360"/>
            <w:tcBorders>
              <w:top w:val="none" w:color="FFFFFF" w:sz="0"/>
              <w:left w:val="none" w:color="FFFFFF" w:sz="0"/>
              <w:bottom w:val="none" w:color="FFFFFF" w:sz="0"/>
              <w:right w:val="none" w:color="FFFFFF" w:sz="0"/>
            </w:tcBorders>
            <w:shd w:fill="C8973E" w:val="clear"/>
          </w:tcPr>
          <w:p>
            <w:pPr>
              <w:spacing w:after="0"/>
            </w:pPr>
          </w:p>
        </w:tc>
      </w:tr>
    </w:tbl>
    <w:p>
      <w:pPr>
        <w:spacing w:after="120"/>
      </w:pPr>
    </w:p>
    <w:p>
      <w:pPr>
        <w:spacing w:after="40"/>
        <w:jc w:val="center"/>
      </w:pPr>
      <w:r>
        <w:rPr>
          <w:rFonts w:ascii="Arial" w:cs="Arial" w:eastAsia="Arial" w:hAnsi="Arial"/>
          <w:b/>
          <w:bCs/>
          <w:color w:val="C8973E"/>
          <w:sz w:val="20"/>
          <w:szCs w:val="20"/>
        </w:rPr>
        <w:t xml:space="preserve">FIRST UNDERWRITERS INSURANCE BROKERS</w:t>
      </w:r>
    </w:p>
    <w:p>
      <w:pPr>
        <w:spacing w:after="40"/>
        <w:jc w:val="center"/>
      </w:pPr>
      <w:r>
        <w:rPr>
          <w:rFonts w:ascii="Arial" w:cs="Arial" w:eastAsia="Arial" w:hAnsi="Arial"/>
          <w:color w:val="718096"/>
          <w:sz w:val="18"/>
          <w:szCs w:val="18"/>
        </w:rPr>
        <w:t xml:space="preserve">4055 Lake Washington Blvd NE, Suite 100, Kirkland, WA 98033</w:t>
      </w:r>
    </w:p>
    <w:p>
      <w:pPr>
        <w:spacing w:after="0"/>
        <w:jc w:val="center"/>
      </w:pPr>
      <w:r>
        <w:rPr>
          <w:rFonts w:ascii="Arial" w:cs="Arial" w:eastAsia="Arial" w:hAnsi="Arial"/>
          <w:color w:val="718096"/>
          <w:sz w:val="18"/>
          <w:szCs w:val="18"/>
        </w:rPr>
        <w:t xml:space="preserve">(425) 242-5357  |  www.firstunderwriters.com</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616"/>
      <w:gridCol w:w="3744"/>
    </w:tblGrid>
    <w:tr>
      <w:trPr>
        <w:trHeight w:val="30" w:hRule="exact"/>
      </w:trPr>
      <w:tc>
        <w:tcPr>
          <w:tcW w:type="dxa" w:w="9360"/>
          <w:gridSpan w:val="2"/>
          <w:tcBorders>
            <w:top w:val="none" w:color="FFFFFF" w:sz="0"/>
            <w:left w:val="none" w:color="FFFFFF" w:sz="0"/>
            <w:bottom w:val="none" w:color="FFFFFF" w:sz="0"/>
            <w:right w:val="none" w:color="FFFFFF" w:sz="0"/>
          </w:tcBorders>
          <w:shd w:fill="E2E8F0" w:val="clear"/>
        </w:tcPr>
        <w:p>
          <w:pPr>
            <w:spacing w:after="0"/>
          </w:pPr>
        </w:p>
      </w:tc>
    </w:tr>
    <w:tr>
      <w:tc>
        <w:tcPr>
          <w:tcW w:type="dxa" w:w="5616"/>
          <w:tcBorders>
            <w:top w:val="none" w:color="FFFFFF" w:sz="0"/>
            <w:left w:val="none" w:color="FFFFFF" w:sz="0"/>
            <w:bottom w:val="none" w:color="FFFFFF" w:sz="0"/>
            <w:right w:val="none" w:color="FFFFFF" w:sz="0"/>
          </w:tcBorders>
        </w:tcPr>
        <w:p>
          <w:pPr>
            <w:spacing w:before="60"/>
          </w:pPr>
          <w:r>
            <w:rPr>
              <w:rFonts w:ascii="Arial" w:cs="Arial" w:eastAsia="Arial" w:hAnsi="Arial"/>
              <w:color w:val="718096"/>
              <w:sz w:val="16"/>
              <w:szCs w:val="16"/>
            </w:rPr>
            <w:t xml:space="preserve">(425) 242-5357  |  www.firstunderwriters.com</w:t>
          </w:r>
        </w:p>
      </w:tc>
      <w:tc>
        <w:tcPr>
          <w:tcW w:type="dxa" w:w="3744"/>
          <w:tcBorders>
            <w:top w:val="none" w:color="FFFFFF" w:sz="0"/>
            <w:left w:val="none" w:color="FFFFFF" w:sz="0"/>
            <w:bottom w:val="none" w:color="FFFFFF" w:sz="0"/>
            <w:right w:val="none" w:color="FFFFFF" w:sz="0"/>
          </w:tcBorders>
        </w:tcPr>
        <w:p>
          <w:pPr>
            <w:spacing w:before="60"/>
            <w:jc w:val="right"/>
          </w:pPr>
          <w:r>
            <w:rPr>
              <w:rFonts w:ascii="Arial" w:cs="Arial" w:eastAsia="Arial" w:hAnsi="Arial"/>
              <w:color w:val="718096"/>
              <w:sz w:val="16"/>
              <w:szCs w:val="16"/>
            </w:rPr>
            <w:t xml:space="preserve">Page </w:t>
          </w:r>
          <w:r>
            <w:rPr>
              <w:rFonts w:ascii="Arial" w:cs="Arial" w:eastAsia="Arial" w:hAnsi="Arial"/>
              <w:color w:val="718096"/>
              <w:sz w:val="16"/>
              <w:szCs w:val="16"/>
            </w:rPr>
            <w:fldChar w:fldCharType="begin"/>
            <w:instrText xml:space="preserve">PAGE</w:instrText>
            <w:fldChar w:fldCharType="separate"/>
            <w:fldChar w:fldCharType="end"/>
          </w:r>
        </w:p>
      </w:tc>
    </w:tr>
    <w:tr>
      <w:tc>
        <w:tcPr>
          <w:tcW w:type="dxa" w:w="9360"/>
          <w:gridSpan w:val="2"/>
          <w:tcBorders>
            <w:top w:val="none" w:color="FFFFFF" w:sz="0"/>
            <w:left w:val="none" w:color="FFFFFF" w:sz="0"/>
            <w:bottom w:val="none" w:color="FFFFFF" w:sz="0"/>
            <w:right w:val="none" w:color="FFFFFF" w:sz="0"/>
          </w:tcBorders>
        </w:tcPr>
        <w:p>
          <w:pPr>
            <w:jc w:val="center"/>
          </w:pPr>
          <w:r>
            <w:rPr>
              <w:rFonts w:ascii="Arial" w:cs="Arial" w:eastAsia="Arial" w:hAnsi="Arial"/>
              <w:i/>
              <w:iCs/>
              <w:color w:val="718096"/>
              <w:sz w:val="14"/>
              <w:szCs w:val="14"/>
            </w:rPr>
            <w:t xml:space="preserve">This template is provided as a risk management resource. It does not constitute legal advice. Consult qualified counsel before adoption.</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none" w:color="FFFFFF" w:sz="0"/>
            <w:left w:val="none" w:color="FFFFFF" w:sz="0"/>
            <w:bottom w:val="none" w:color="FFFFFF" w:sz="0"/>
            <w:right w:val="none" w:color="FFFFFF" w:sz="0"/>
          </w:tcBorders>
        </w:tcPr>
        <w:p>
          <w:r>
            <w:rPr>
              <w:rFonts w:ascii="Arial" w:cs="Arial" w:eastAsia="Arial" w:hAnsi="Arial"/>
              <w:b/>
              <w:bCs/>
              <w:color w:val="1B2B4B"/>
              <w:sz w:val="16"/>
              <w:szCs w:val="16"/>
            </w:rPr>
            <w:t xml:space="preserve">First Underwriters Insurance Brokers</w:t>
          </w:r>
        </w:p>
      </w:tc>
      <w:tc>
        <w:tcPr>
          <w:tcW w:type="dxa" w:w="4680"/>
          <w:tcBorders>
            <w:top w:val="none" w:color="FFFFFF" w:sz="0"/>
            <w:left w:val="none" w:color="FFFFFF" w:sz="0"/>
            <w:bottom w:val="none" w:color="FFFFFF" w:sz="0"/>
            <w:right w:val="none" w:color="FFFFFF" w:sz="0"/>
          </w:tcBorders>
        </w:tcPr>
        <w:p>
          <w:pPr>
            <w:jc w:val="right"/>
          </w:pPr>
          <w:r>
            <w:rPr>
              <w:rFonts w:ascii="Arial" w:cs="Arial" w:eastAsia="Arial" w:hAnsi="Arial"/>
              <w:color w:val="718096"/>
              <w:sz w:val="16"/>
              <w:szCs w:val="16"/>
            </w:rPr>
            <w:t xml:space="preserve">Password Policy Template</w:t>
          </w:r>
        </w:p>
      </w:tc>
    </w:tr>
    <w:tr>
      <w:trPr>
        <w:trHeight w:val="30" w:hRule="exact"/>
      </w:trPr>
      <w:tc>
        <w:tcPr>
          <w:tcW w:type="dxa" w:w="9360"/>
          <w:gridSpan w:val="2"/>
          <w:tcBorders>
            <w:top w:val="none" w:color="FFFFFF" w:sz="0"/>
            <w:left w:val="none" w:color="FFFFFF" w:sz="0"/>
            <w:bottom w:val="none" w:color="FFFFFF" w:sz="0"/>
            <w:right w:val="none" w:color="FFFFFF" w:sz="0"/>
          </w:tcBorders>
          <w:shd w:fill="C8973E" w:val="clear"/>
        </w:tcPr>
        <w:p>
          <w:pPr>
            <w:spacing w:after="0"/>
          </w:pP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bullet"/>
      <w:lvlText w:val="•"/>
      <w:lvlJc w:val="left"/>
      <w:pPr>
        <w:ind w:left="720" w:hanging="360"/>
      </w:pPr>
    </w:lvl>
  </w:abstractNum>
  <w:abstractNum w:abstractNumId="4" w15:restartNumberingAfterBreak="0">
    <w:multiLevelType w:val="hybridMultilevel"/>
    <w:lvl w:ilvl="0" w15:tentative="1">
      <w:start w:val="1"/>
      <w:numFmt w:val="bullet"/>
      <w:lvlText w:val="•"/>
      <w:lvlJc w:val="left"/>
      <w:pPr>
        <w:ind w:left="720" w:hanging="360"/>
      </w:pPr>
    </w:lvl>
  </w:abstractNum>
  <w:abstractNum w:abstractNumId="5" w15:restartNumberingAfterBreak="0">
    <w:multiLevelType w:val="hybridMultilevel"/>
    <w:lvl w:ilvl="0" w15:tentative="1">
      <w:start w:val="1"/>
      <w:numFmt w:val="bullet"/>
      <w:lvlText w:val="•"/>
      <w:lvlJc w:val="left"/>
      <w:pPr>
        <w:ind w:left="720" w:hanging="360"/>
      </w:pPr>
    </w:lvl>
  </w:abstractNum>
  <w:abstractNum w:abstractNumId="6" w15:restartNumberingAfterBreak="0">
    <w:multiLevelType w:val="hybridMultilevel"/>
    <w:lvl w:ilvl="0" w15:tentative="1">
      <w:start w:val="1"/>
      <w:numFmt w:val="bullet"/>
      <w:lvlText w:val="•"/>
      <w:lvlJc w:val="left"/>
      <w:pPr>
        <w:ind w:left="720" w:hanging="360"/>
      </w:pPr>
    </w:lvl>
  </w:abstractNum>
  <w:abstractNum w:abstractNumId="7" w15:restartNumberingAfterBreak="0">
    <w:multiLevelType w:val="hybridMultilevel"/>
    <w:lvl w:ilvl="0" w15:tentative="1">
      <w:start w:val="1"/>
      <w:numFmt w:val="bullet"/>
      <w:lvlText w:val="•"/>
      <w:lvlJc w:val="left"/>
      <w:pPr>
        <w:ind w:left="720" w:hanging="360"/>
      </w:pPr>
    </w:lvl>
  </w:abstractNum>
  <w:abstractNum w:abstractNumId="8" w15:restartNumberingAfterBreak="0">
    <w:multiLevelType w:val="hybridMultilevel"/>
    <w:lvl w:ilvl="0" w15:tentative="1">
      <w:start w:val="1"/>
      <w:numFmt w:val="bullet"/>
      <w:lvlText w:val="•"/>
      <w:lvlJc w:val="left"/>
      <w:pPr>
        <w:ind w:left="720" w:hanging="360"/>
      </w:pPr>
    </w:lvl>
  </w:abstractNum>
  <w:abstractNum w:abstractNumId="9" w15:restartNumberingAfterBreak="0">
    <w:multiLevelType w:val="hybridMultilevel"/>
    <w:lvl w:ilvl="0" w15:tentative="1">
      <w:start w:val="1"/>
      <w:numFmt w:val="bullet"/>
      <w:lvlText w:val="•"/>
      <w:lvlJc w:val="left"/>
      <w:pPr>
        <w:ind w:left="720" w:hanging="360"/>
      </w:pPr>
    </w:lvl>
  </w:abstractNum>
  <w:abstractNum w:abstractNumId="10" w15:restartNumberingAfterBreak="0">
    <w:multiLevelType w:val="hybridMultilevel"/>
    <w:lvl w:ilvl="0" w15:tentative="1">
      <w:start w:val="1"/>
      <w:numFmt w:val="bullet"/>
      <w:lvlText w:val="•"/>
      <w:lvlJc w:val="left"/>
      <w:pPr>
        <w:ind w:left="720" w:hanging="360"/>
      </w:pPr>
    </w:lvl>
  </w:abstractNum>
  <w:abstractNum w:abstractNumId="11" w15:restartNumberingAfterBreak="0">
    <w:multiLevelType w:val="hybridMultilevel"/>
    <w:lvl w:ilvl="0" w15:tentative="1">
      <w:start w:val="1"/>
      <w:numFmt w:val="bullet"/>
      <w:lvlText w:val="•"/>
      <w:lvlJc w:val="left"/>
      <w:pPr>
        <w:ind w:left="720" w:hanging="360"/>
      </w:pPr>
    </w:lvl>
  </w:abstractNum>
  <w:abstractNum w:abstractNumId="12" w15:restartNumberingAfterBreak="0">
    <w:multiLevelType w:val="hybridMultilevel"/>
    <w:lvl w:ilvl="0" w15:tentative="1">
      <w:start w:val="1"/>
      <w:numFmt w:val="bullet"/>
      <w:lvlText w:val="•"/>
      <w:lvlJc w:val="left"/>
      <w:pPr>
        <w:ind w:left="720" w:hanging="360"/>
      </w:pPr>
    </w:lvl>
  </w:abstractNum>
  <w:abstractNum w:abstractNumId="13" w15:restartNumberingAfterBreak="0">
    <w:multiLevelType w:val="hybridMultilevel"/>
    <w:lvl w:ilvl="0" w15:tentative="1">
      <w:start w:val="1"/>
      <w:numFmt w:val="bullet"/>
      <w:lvlText w:val="•"/>
      <w:lvlJc w:val="left"/>
      <w:pPr>
        <w:ind w:left="720" w:hanging="360"/>
      </w:pPr>
    </w:lvl>
  </w:abstractNum>
  <w:abstractNum w:abstractNumId="14" w15:restartNumberingAfterBreak="0">
    <w:multiLevelType w:val="hybridMultilevel"/>
    <w:lvl w:ilvl="0" w15:tentative="1">
      <w:start w:val="1"/>
      <w:numFmt w:val="decimal"/>
      <w:lvlText w:val="%1."/>
      <w:lvlJc w:val="left"/>
      <w:pPr>
        <w:ind w:left="720" w:hanging="360"/>
      </w:pPr>
    </w:lvl>
  </w:abstractNum>
  <w:abstractNum w:abstractNumId="15" w15:restartNumberingAfterBreak="0">
    <w:multiLevelType w:val="hybridMultilevel"/>
    <w:lvl w:ilvl="0" w15:tentative="1">
      <w:start w:val="1"/>
      <w:numFmt w:val="decimal"/>
      <w:lvlText w:val="%1."/>
      <w:lvlJc w:val="left"/>
      <w:pPr>
        <w:ind w:left="720" w:hanging="360"/>
      </w:pPr>
    </w:lvl>
  </w:abstractNum>
  <w:abstractNum w:abstractNumId="16" w15:restartNumberingAfterBreak="0">
    <w:multiLevelType w:val="hybridMultilevel"/>
    <w:lvl w:ilvl="0" w15:tentative="1">
      <w:start w:val="1"/>
      <w:numFmt w:val="lowerLetter"/>
      <w:lvlText w:val="%1)"/>
      <w:lvlJc w:val="left"/>
      <w:pPr>
        <w:ind w:left="108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7"/>
    <w:lvlOverride w:ilvl="0">
      <w:startOverride w:val="1"/>
    </w:lvlOverride>
  </w:num>
  <w:num w:numId="8">
    <w:abstractNumId w:val="8"/>
    <w:lvlOverride w:ilvl="0">
      <w:startOverride w:val="1"/>
    </w:lvlOverride>
  </w:num>
  <w:num w:numId="9">
    <w:abstractNumId w:val="9"/>
    <w:lvlOverride w:ilvl="0">
      <w:startOverride w:val="1"/>
    </w:lvlOverride>
  </w:num>
  <w:num w:numId="10">
    <w:abstractNumId w:val="10"/>
    <w:lvlOverride w:ilvl="0">
      <w:startOverride w:val="1"/>
    </w:lvlOverride>
  </w:num>
  <w:num w:numId="11">
    <w:abstractNumId w:val="11"/>
    <w:lvlOverride w:ilvl="0">
      <w:startOverride w:val="1"/>
    </w:lvlOverride>
  </w:num>
  <w:num w:numId="12">
    <w:abstractNumId w:val="12"/>
    <w:lvlOverride w:ilvl="0">
      <w:startOverride w:val="1"/>
    </w:lvlOverride>
  </w:num>
  <w:num w:numId="13">
    <w:abstractNumId w:val="13"/>
    <w:lvlOverride w:ilvl="0">
      <w:startOverride w:val="1"/>
    </w:lvlOverride>
  </w:num>
  <w:num w:numId="14">
    <w:abstractNumId w:val="14"/>
    <w:lvlOverride w:ilvl="0">
      <w:startOverride w:val="1"/>
    </w:lvlOverride>
  </w:num>
  <w:num w:numId="15">
    <w:abstractNumId w:val="15"/>
    <w:lvlOverride w:ilvl="0">
      <w:startOverride w:val="1"/>
    </w:lvlOverride>
  </w:num>
  <w:num w:numId="16">
    <w:abstractNumId w:val="16"/>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200"/>
      <w:outlineLvl w:val="0"/>
    </w:pPr>
    <w:rPr>
      <w:rFonts w:ascii="Arial" w:cs="Arial" w:eastAsia="Arial" w:hAnsi="Arial"/>
      <w:b/>
      <w:bCs/>
      <w:color w:val="1B2B4B"/>
      <w:sz w:val="32"/>
      <w:szCs w:val="32"/>
    </w:rPr>
  </w:style>
  <w:style w:type="paragraph" w:styleId="Heading2">
    <w:name w:val="Heading 2"/>
    <w:basedOn w:val="Normal"/>
    <w:next w:val="Normal"/>
    <w:qFormat/>
    <w:pPr>
      <w:spacing w:before="280" w:after="160"/>
      <w:outlineLvl w:val="1"/>
    </w:pPr>
    <w:rPr>
      <w:rFonts w:ascii="Arial" w:cs="Arial" w:eastAsia="Arial" w:hAnsi="Arial"/>
      <w:b/>
      <w:bCs/>
      <w:color w:val="1B2B4B"/>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2026-02-04T21:58:55.293Z</dcterms:created>
  <dcterms:modified xsi:type="dcterms:W3CDTF">2026-02-04T21:58:55.293Z</dcterms:modified>
</cp:coreProperties>
</file>

<file path=docProps/custom.xml><?xml version="1.0" encoding="utf-8"?>
<Properties xmlns="http://schemas.openxmlformats.org/officeDocument/2006/custom-properties" xmlns:vt="http://schemas.openxmlformats.org/officeDocument/2006/docPropsVTypes"/>
</file>