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pPr>
      <w:r>
        <w:rPr>
          <w:rFonts w:ascii="Arial" w:cs="Arial" w:eastAsia="Arial" w:hAnsi="Arial"/>
          <w:b/>
          <w:bCs/>
          <w:color w:val="1B3A5C"/>
          <w:sz w:val="36"/>
          <w:szCs w:val="36"/>
        </w:rPr>
        <w:t xml:space="preserve">SECURITY ADDENDUM</w:t>
      </w:r>
    </w:p>
    <w:p>
      <w:pPr>
        <w:spacing w:after="20"/>
      </w:pPr>
      <w:r>
        <w:rPr>
          <w:rFonts w:ascii="Arial" w:cs="Arial" w:eastAsia="Arial" w:hAnsi="Arial"/>
          <w:b/>
          <w:bCs/>
          <w:color w:val="1B3A5C"/>
          <w:sz w:val="36"/>
          <w:szCs w:val="36"/>
        </w:rPr>
        <w:t xml:space="preserve">TEMPLATE</w:t>
      </w:r>
    </w:p>
    <w:p>
      <w:pPr>
        <w:spacing w:after="20"/>
      </w:pPr>
      <w:r>
        <w:rPr>
          <w:rFonts w:ascii="Arial" w:cs="Arial" w:eastAsia="Arial" w:hAnsi="Arial"/>
          <w:color w:val="2E75B6"/>
          <w:sz w:val="21"/>
          <w:szCs w:val="21"/>
        </w:rPr>
        <w:t xml:space="preserve">Cybersecurity Contract Language for Vendor &amp; Service Provider Agreements</w:t>
      </w:r>
    </w:p>
    <w:p>
      <w:pPr>
        <w:spacing w:after="30"/>
      </w:pPr>
      <w:r>
        <w:rPr>
          <w:rFonts w:ascii="Arial" w:cs="Arial" w:eastAsia="Arial" w:hAnsi="Arial"/>
          <w:color w:val="2E75B6"/>
          <w:sz w:val="19"/>
          <w:szCs w:val="19"/>
        </w:rPr>
        <w:t xml:space="preserve">Vendor Security Assessment  |  Free Download  |  Customizable Template</w:t>
      </w:r>
    </w:p>
    <w:p>
      <w:pPr>
        <w:pBdr>
          <w:bottom w:val="single" w:color="E8792F" w:sz="4"/>
        </w:pBdr>
        <w:spacing w:after="160"/>
      </w:pPr>
    </w:p>
    <w:p>
      <w:pPr>
        <w:spacing w:after="100"/>
      </w:pPr>
      <w:r>
        <w:rPr>
          <w:rFonts w:ascii="Arial" w:cs="Arial" w:eastAsia="Arial" w:hAnsi="Arial"/>
          <w:b w:val="false"/>
          <w:bCs w:val="false"/>
          <w:i w:val="false"/>
          <w:iCs w:val="false"/>
          <w:color w:val="333333"/>
          <w:sz w:val="20"/>
          <w:szCs w:val="20"/>
        </w:rPr>
        <w:t xml:space="preserve">This Security Addendum provides standardized cybersecurity contract language that can be attached to vendor agreements, service contracts, master service agreements (MSAs), and statements of work (SOWs). It establishes minimum security requirements for any third party that accesses, processes, stores, or transmits your organization’s data.</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2E75B6" w:sz="3"/>
              <w:left w:val="single" w:color="2E75B6" w:sz="3"/>
              <w:bottom w:val="single" w:color="2E75B6" w:sz="3"/>
              <w:right w:val="single" w:color="2E75B6" w:sz="3"/>
            </w:tcBorders>
            <w:shd w:fill="EBF1F8" w:val="clear"/>
            <w:tcMar>
              <w:top w:type="dxa" w:w="120"/>
              <w:left w:type="dxa" w:w="160"/>
              <w:bottom w:type="dxa" w:w="120"/>
              <w:right w:type="dxa" w:w="160"/>
            </w:tcMar>
          </w:tcPr>
          <w:p>
            <w:pPr>
              <w:spacing w:after="40"/>
            </w:pPr>
            <w:r>
              <w:rPr>
                <w:rFonts w:ascii="Arial" w:cs="Arial" w:eastAsia="Arial" w:hAnsi="Arial"/>
                <w:b/>
                <w:bCs/>
                <w:color w:val="1B3A5C"/>
                <w:sz w:val="19"/>
                <w:szCs w:val="19"/>
              </w:rPr>
              <w:t xml:space="preserve">WHY THIS MATTERS FOR CYBER INSURANCE: </w:t>
            </w:r>
            <w:r>
              <w:rPr>
                <w:rFonts w:ascii="Arial" w:cs="Arial" w:eastAsia="Arial" w:hAnsi="Arial"/>
                <w:color w:val="333333"/>
                <w:sz w:val="18"/>
                <w:szCs w:val="18"/>
              </w:rPr>
              <w:t xml:space="preserve">Cyber insurance carriers evaluate your vendor management practices during underwriting. Contractual security requirements demonstrate that your organization takes third-party risk seriously. In the event of a vendor-caused breach, this addendum provides the contractual foundation for indemnification, breach notification, and remediation—all of which are critical during the claims process.</w:t>
            </w:r>
          </w:p>
        </w:tc>
      </w:tr>
    </w:tbl>
    <w:p>
      <w:pPr>
        <w:spacing w:after="40"/>
      </w:pPr>
    </w:p>
    <w:p>
      <w:pPr>
        <w:pStyle w:val="Heading1"/>
        <w:spacing w:before="300" w:after="100"/>
      </w:pPr>
      <w:r>
        <w:rPr>
          <w:rFonts w:ascii="Arial" w:cs="Arial" w:eastAsia="Arial" w:hAnsi="Arial"/>
          <w:b/>
          <w:bCs/>
          <w:color w:val="1B3A5C"/>
          <w:sz w:val="26"/>
          <w:szCs w:val="26"/>
        </w:rPr>
        <w:t xml:space="preserve">How to Use This Template</w:t>
      </w:r>
    </w:p>
    <w:p>
      <w:pPr>
        <w:pStyle w:val="ListParagraph"/>
        <w:numPr>
          <w:ilvl w:val="0"/>
          <w:numId w:val="2"/>
        </w:numPr>
        <w:spacing w:after="50"/>
      </w:pPr>
      <w:r>
        <w:rPr>
          <w:rFonts w:ascii="Arial" w:cs="Arial" w:eastAsia="Arial" w:hAnsi="Arial"/>
          <w:color w:val="333333"/>
          <w:sz w:val="19"/>
          <w:szCs w:val="19"/>
        </w:rPr>
        <w:t xml:space="preserve">Attach this addendum to all new vendor contracts, renewals, and amendments where the vendor will access your data or systems</w:t>
      </w:r>
    </w:p>
    <w:p>
      <w:pPr>
        <w:pStyle w:val="ListParagraph"/>
        <w:numPr>
          <w:ilvl w:val="0"/>
          <w:numId w:val="2"/>
        </w:numPr>
        <w:spacing w:after="50"/>
      </w:pPr>
      <w:r>
        <w:rPr>
          <w:rFonts w:ascii="Arial" w:cs="Arial" w:eastAsia="Arial" w:hAnsi="Arial"/>
          <w:color w:val="333333"/>
          <w:sz w:val="19"/>
          <w:szCs w:val="19"/>
        </w:rPr>
        <w:t xml:space="preserve">Customize bracketed fields [like this] with your organization’s specific requirements, timelines, and thresholds</w:t>
      </w:r>
    </w:p>
    <w:p>
      <w:pPr>
        <w:pStyle w:val="ListParagraph"/>
        <w:numPr>
          <w:ilvl w:val="0"/>
          <w:numId w:val="2"/>
        </w:numPr>
        <w:spacing w:after="50"/>
      </w:pPr>
      <w:r>
        <w:rPr>
          <w:rFonts w:ascii="Arial" w:cs="Arial" w:eastAsia="Arial" w:hAnsi="Arial"/>
          <w:color w:val="333333"/>
          <w:sz w:val="19"/>
          <w:szCs w:val="19"/>
        </w:rPr>
        <w:t xml:space="preserve">Have legal counsel review and approve any modifications before execution</w:t>
      </w:r>
    </w:p>
    <w:p>
      <w:pPr>
        <w:pStyle w:val="ListParagraph"/>
        <w:numPr>
          <w:ilvl w:val="0"/>
          <w:numId w:val="2"/>
        </w:numPr>
        <w:spacing w:after="50"/>
      </w:pPr>
      <w:r>
        <w:rPr>
          <w:rFonts w:ascii="Arial" w:cs="Arial" w:eastAsia="Arial" w:hAnsi="Arial"/>
          <w:color w:val="333333"/>
          <w:sz w:val="19"/>
          <w:szCs w:val="19"/>
        </w:rPr>
        <w:t xml:space="preserve">Use in conjunction with the Vendor Security Questionnaire to assess vendor compliance</w:t>
      </w:r>
    </w:p>
    <w:p>
      <w:pPr>
        <w:pStyle w:val="ListParagraph"/>
        <w:numPr>
          <w:ilvl w:val="0"/>
          <w:numId w:val="2"/>
        </w:numPr>
        <w:spacing w:after="50"/>
      </w:pPr>
      <w:r>
        <w:rPr>
          <w:rFonts w:ascii="Arial" w:cs="Arial" w:eastAsia="Arial" w:hAnsi="Arial"/>
          <w:color w:val="333333"/>
          <w:sz w:val="19"/>
          <w:szCs w:val="19"/>
        </w:rPr>
        <w:t xml:space="preserve">Retain executed copies for the duration of the contract plus [3–7] years</w:t>
      </w:r>
    </w:p>
    <w:p>
      <w:pPr>
        <w:pStyle w:val="ListParagraph"/>
        <w:numPr>
          <w:ilvl w:val="0"/>
          <w:numId w:val="2"/>
        </w:numPr>
        <w:spacing w:after="50"/>
      </w:pPr>
      <w:r>
        <w:rPr>
          <w:rFonts w:ascii="Arial" w:cs="Arial" w:eastAsia="Arial" w:hAnsi="Arial"/>
          <w:color w:val="333333"/>
          <w:sz w:val="19"/>
          <w:szCs w:val="19"/>
        </w:rPr>
        <w:t xml:space="preserve">Re-evaluate addendum requirements annually or when regulations change</w:t>
      </w:r>
    </w:p>
    <w:p>
      <w:pPr>
        <w:spacing w:after="2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F57F17" w:sz="3"/>
              <w:left w:val="single" w:color="F57F17" w:sz="3"/>
              <w:bottom w:val="single" w:color="F57F17" w:sz="3"/>
              <w:right w:val="single" w:color="F57F17" w:sz="3"/>
            </w:tcBorders>
            <w:shd w:fill="FFF8E1" w:val="clear"/>
            <w:tcMar>
              <w:top w:type="dxa" w:w="120"/>
              <w:left w:type="dxa" w:w="160"/>
              <w:bottom w:type="dxa" w:w="120"/>
              <w:right w:type="dxa" w:w="160"/>
            </w:tcMar>
          </w:tcPr>
          <w:p>
            <w:pPr>
              <w:spacing w:after="40"/>
            </w:pPr>
            <w:r>
              <w:rPr>
                <w:rFonts w:ascii="Arial" w:cs="Arial" w:eastAsia="Arial" w:hAnsi="Arial"/>
                <w:b/>
                <w:bCs/>
                <w:color w:val="B71C1C"/>
                <w:sz w:val="18"/>
                <w:szCs w:val="18"/>
              </w:rPr>
              <w:t xml:space="preserve">CUSTOMIZATION NOTE: </w:t>
            </w:r>
            <w:r>
              <w:rPr>
                <w:rFonts w:ascii="Arial" w:cs="Arial" w:eastAsia="Arial" w:hAnsi="Arial"/>
                <w:color w:val="333333"/>
                <w:sz w:val="18"/>
                <w:szCs w:val="18"/>
              </w:rPr>
              <w:t xml:space="preserve">All text in [brackets] should be replaced with your organization’s specific information. This template is a starting point—your legal counsel should review and adapt it for your regulatory environment, industry requirements, and risk tolerance.</w:t>
            </w:r>
          </w:p>
        </w:tc>
      </w:tr>
    </w:tbl>
    <w:p>
      <w:pPr>
        <w:spacing w:after="60"/>
      </w:pPr>
    </w:p>
    <w:p>
      <w:pPr>
        <w:pStyle w:val="Heading1"/>
        <w:spacing w:before="300" w:after="100"/>
      </w:pPr>
      <w:r>
        <w:rPr>
          <w:rFonts w:ascii="Arial" w:cs="Arial" w:eastAsia="Arial" w:hAnsi="Arial"/>
          <w:b/>
          <w:bCs/>
          <w:color w:val="1B3A5C"/>
          <w:sz w:val="26"/>
          <w:szCs w:val="26"/>
        </w:rPr>
        <w:t xml:space="preserve">Agreement Information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2680"/>
        <w:gridCol w:w="2000"/>
        <w:gridCol w:w="2680"/>
      </w:tblGrid>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Addendum Date: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Addendum #:</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Client ("Company"):</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[Your Organization Name]</w:t>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Vendor ("Provider"):</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Master Agreement:</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Dated:</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Effective Date: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Expiration Date: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r>
        <w:br w:type="page"/>
      </w:r>
    </w:p>
    <w:p>
      <w:pPr>
        <w:spacing w:after="60"/>
        <w:jc w:val="center"/>
      </w:pPr>
      <w:r>
        <w:rPr>
          <w:rFonts w:ascii="Arial" w:cs="Arial" w:eastAsia="Arial" w:hAnsi="Arial"/>
          <w:b/>
          <w:bCs/>
          <w:color w:val="1B3A5C"/>
          <w:sz w:val="24"/>
          <w:szCs w:val="24"/>
        </w:rPr>
        <w:t xml:space="preserve">CYBERSECURITY ADDENDUM</w:t>
      </w:r>
    </w:p>
    <w:p>
      <w:pPr>
        <w:spacing w:after="120"/>
        <w:jc w:val="center"/>
      </w:pPr>
      <w:r>
        <w:rPr>
          <w:rFonts w:ascii="Arial" w:cs="Arial" w:eastAsia="Arial" w:hAnsi="Arial"/>
          <w:color w:val="2E75B6"/>
          <w:sz w:val="20"/>
          <w:szCs w:val="20"/>
        </w:rPr>
        <w:t xml:space="preserve">to the Master Agreement Referenced Above</w:t>
      </w:r>
    </w:p>
    <w:p>
      <w:pPr>
        <w:spacing w:after="100"/>
      </w:pPr>
      <w:r>
        <w:rPr>
          <w:rFonts w:ascii="Arial" w:cs="Arial" w:eastAsia="Arial" w:hAnsi="Arial"/>
          <w:b w:val="false"/>
          <w:bCs w:val="false"/>
          <w:i w:val="false"/>
          <w:iCs w:val="false"/>
          <w:color w:val="333333"/>
          <w:sz w:val="20"/>
          <w:szCs w:val="20"/>
        </w:rPr>
        <w:t xml:space="preserve">This Cybersecurity Addendum (“Addendum”) is entered into by and between the parties identified above and is incorporated by reference into the Master Agreement. In the event of a conflict between this Addendum and the Master Agreement, the terms of this Addendum shall prevail with respect to cybersecurity and data protection matters.</w:t>
      </w:r>
    </w:p>
    <w:p>
      <w:pPr>
        <w:pStyle w:val="Heading2"/>
        <w:spacing w:before="260" w:after="80"/>
      </w:pPr>
      <w:r>
        <w:rPr>
          <w:rFonts w:ascii="Arial" w:cs="Arial" w:eastAsia="Arial" w:hAnsi="Arial"/>
          <w:b/>
          <w:bCs/>
          <w:color w:val="1B3A5C"/>
          <w:sz w:val="22"/>
          <w:szCs w:val="22"/>
        </w:rPr>
        <w:t xml:space="preserve">1. Definitions</w:t>
      </w:r>
    </w:p>
    <w:p>
      <w:pPr>
        <w:spacing w:after="80"/>
        <w:ind w:left="360"/>
      </w:pPr>
      <w:r>
        <w:rPr>
          <w:rFonts w:ascii="Arial" w:cs="Arial" w:eastAsia="Arial" w:hAnsi="Arial"/>
          <w:b/>
          <w:bCs/>
          <w:color w:val="2E75B6"/>
          <w:sz w:val="20"/>
          <w:szCs w:val="20"/>
        </w:rPr>
        <w:t xml:space="preserve">1.1  </w:t>
      </w:r>
      <w:r>
        <w:rPr>
          <w:rFonts w:ascii="Arial" w:cs="Arial" w:eastAsia="Arial" w:hAnsi="Arial"/>
          <w:color w:val="333333"/>
          <w:sz w:val="20"/>
          <w:szCs w:val="20"/>
        </w:rPr>
        <w:t xml:space="preserve">"Confidential Data" means any data disclosed by Company to Provider, or accessed, collected, processed, stored, or transmitted by Provider on behalf of Company, including but not limited to personally identifiable information (PII), protected health information (PHI), financial data, intellectual property, trade secrets, employee records, and customer data.</w:t>
      </w:r>
    </w:p>
    <w:p>
      <w:pPr>
        <w:spacing w:after="80"/>
        <w:ind w:left="360"/>
      </w:pPr>
      <w:r>
        <w:rPr>
          <w:rFonts w:ascii="Arial" w:cs="Arial" w:eastAsia="Arial" w:hAnsi="Arial"/>
          <w:b/>
          <w:bCs/>
          <w:color w:val="2E75B6"/>
          <w:sz w:val="20"/>
          <w:szCs w:val="20"/>
        </w:rPr>
        <w:t xml:space="preserve">1.2  </w:t>
      </w:r>
      <w:r>
        <w:rPr>
          <w:rFonts w:ascii="Arial" w:cs="Arial" w:eastAsia="Arial" w:hAnsi="Arial"/>
          <w:color w:val="333333"/>
          <w:sz w:val="20"/>
          <w:szCs w:val="20"/>
        </w:rPr>
        <w:t xml:space="preserve">"Security Incident" means any unauthorized access, acquisition, use, disclosure, modification, or destruction of Confidential Data, or any event that compromises the confidentiality, integrity, or availability of Company’s systems or data in Provider’s possession or control.</w:t>
      </w:r>
    </w:p>
    <w:p>
      <w:pPr>
        <w:spacing w:after="80"/>
        <w:ind w:left="360"/>
      </w:pPr>
      <w:r>
        <w:rPr>
          <w:rFonts w:ascii="Arial" w:cs="Arial" w:eastAsia="Arial" w:hAnsi="Arial"/>
          <w:b/>
          <w:bCs/>
          <w:color w:val="2E75B6"/>
          <w:sz w:val="20"/>
          <w:szCs w:val="20"/>
        </w:rPr>
        <w:t xml:space="preserve">1.3  </w:t>
      </w:r>
      <w:r>
        <w:rPr>
          <w:rFonts w:ascii="Arial" w:cs="Arial" w:eastAsia="Arial" w:hAnsi="Arial"/>
          <w:color w:val="333333"/>
          <w:sz w:val="20"/>
          <w:szCs w:val="20"/>
        </w:rPr>
        <w:t xml:space="preserve">"Security Standards" means the security requirements set forth in this Addendum, including but not limited to the controls described in Articles 3 through 8.</w:t>
      </w:r>
    </w:p>
    <w:p>
      <w:pPr>
        <w:spacing w:after="80"/>
        <w:ind w:left="360"/>
      </w:pPr>
      <w:r>
        <w:rPr>
          <w:rFonts w:ascii="Arial" w:cs="Arial" w:eastAsia="Arial" w:hAnsi="Arial"/>
          <w:b/>
          <w:bCs/>
          <w:color w:val="2E75B6"/>
          <w:sz w:val="20"/>
          <w:szCs w:val="20"/>
        </w:rPr>
        <w:t xml:space="preserve">1.4  </w:t>
      </w:r>
      <w:r>
        <w:rPr>
          <w:rFonts w:ascii="Arial" w:cs="Arial" w:eastAsia="Arial" w:hAnsi="Arial"/>
          <w:color w:val="333333"/>
          <w:sz w:val="20"/>
          <w:szCs w:val="20"/>
        </w:rPr>
        <w:t xml:space="preserve">"Subprocessor" means any third party engaged by Provider to process, access, or store Confidential Data on behalf of Company.</w:t>
      </w:r>
    </w:p>
    <w:p>
      <w:pPr>
        <w:pStyle w:val="Heading2"/>
        <w:spacing w:before="260" w:after="80"/>
      </w:pPr>
      <w:r>
        <w:rPr>
          <w:rFonts w:ascii="Arial" w:cs="Arial" w:eastAsia="Arial" w:hAnsi="Arial"/>
          <w:b/>
          <w:bCs/>
          <w:color w:val="1B3A5C"/>
          <w:sz w:val="22"/>
          <w:szCs w:val="22"/>
        </w:rPr>
        <w:t xml:space="preserve">2. Scope and Applicability</w:t>
      </w:r>
    </w:p>
    <w:p>
      <w:pPr>
        <w:spacing w:after="80"/>
        <w:ind w:left="360"/>
      </w:pPr>
      <w:r>
        <w:rPr>
          <w:rFonts w:ascii="Arial" w:cs="Arial" w:eastAsia="Arial" w:hAnsi="Arial"/>
          <w:b/>
          <w:bCs/>
          <w:color w:val="2E75B6"/>
          <w:sz w:val="20"/>
          <w:szCs w:val="20"/>
        </w:rPr>
        <w:t xml:space="preserve">2.1  </w:t>
      </w:r>
      <w:r>
        <w:rPr>
          <w:rFonts w:ascii="Arial" w:cs="Arial" w:eastAsia="Arial" w:hAnsi="Arial"/>
          <w:color w:val="333333"/>
          <w:sz w:val="20"/>
          <w:szCs w:val="20"/>
        </w:rPr>
        <w:t xml:space="preserve">This Addendum applies to all services provided by Provider under the Master Agreement in which Provider accesses, processes, stores, transmits, or has the ability to access Company’s Confidential Data or connects to Company’s networks, systems, or infrastructure.</w:t>
      </w:r>
    </w:p>
    <w:p>
      <w:pPr>
        <w:spacing w:after="80"/>
        <w:ind w:left="360"/>
      </w:pPr>
      <w:r>
        <w:rPr>
          <w:rFonts w:ascii="Arial" w:cs="Arial" w:eastAsia="Arial" w:hAnsi="Arial"/>
          <w:b/>
          <w:bCs/>
          <w:color w:val="2E75B6"/>
          <w:sz w:val="20"/>
          <w:szCs w:val="20"/>
        </w:rPr>
        <w:t xml:space="preserve">2.2  </w:t>
      </w:r>
      <w:r>
        <w:rPr>
          <w:rFonts w:ascii="Arial" w:cs="Arial" w:eastAsia="Arial" w:hAnsi="Arial"/>
          <w:color w:val="333333"/>
          <w:sz w:val="20"/>
          <w:szCs w:val="20"/>
        </w:rPr>
        <w:t xml:space="preserve">Provider shall ensure that all personnel, agents, contractors, and Subprocessors who access Confidential Data are bound by obligations no less protective than those set forth in this Addendum.</w:t>
      </w:r>
    </w:p>
    <w:p>
      <w:pPr>
        <w:spacing w:after="80"/>
        <w:ind w:left="360"/>
      </w:pPr>
      <w:r>
        <w:rPr>
          <w:rFonts w:ascii="Arial" w:cs="Arial" w:eastAsia="Arial" w:hAnsi="Arial"/>
          <w:b/>
          <w:bCs/>
          <w:color w:val="2E75B6"/>
          <w:sz w:val="20"/>
          <w:szCs w:val="20"/>
        </w:rPr>
        <w:t xml:space="preserve">2.3  </w:t>
      </w:r>
      <w:r>
        <w:rPr>
          <w:rFonts w:ascii="Arial" w:cs="Arial" w:eastAsia="Arial" w:hAnsi="Arial"/>
          <w:color w:val="333333"/>
          <w:sz w:val="20"/>
          <w:szCs w:val="20"/>
        </w:rPr>
        <w:t xml:space="preserve">Provider shall comply with all applicable federal, state, and local laws and regulations relating to data protection, privacy, and cybersecurity, including but not limited to [HIPAA, PCI DSS, CCPA, GDPR, Washington Privacy Act, and other applicable regulations].</w:t>
      </w:r>
    </w:p>
    <w:p>
      <w:pPr>
        <w:pStyle w:val="Heading2"/>
        <w:spacing w:before="260" w:after="80"/>
      </w:pPr>
      <w:r>
        <w:rPr>
          <w:rFonts w:ascii="Arial" w:cs="Arial" w:eastAsia="Arial" w:hAnsi="Arial"/>
          <w:b/>
          <w:bCs/>
          <w:color w:val="1B3A5C"/>
          <w:sz w:val="22"/>
          <w:szCs w:val="22"/>
        </w:rPr>
        <w:t xml:space="preserve">3. Minimum Security Controls</w:t>
      </w:r>
    </w:p>
    <w:p>
      <w:pPr>
        <w:pStyle w:val="Heading2"/>
        <w:spacing w:before="220" w:after="80"/>
      </w:pPr>
      <w:r>
        <w:rPr>
          <w:rFonts w:ascii="Arial" w:cs="Arial" w:eastAsia="Arial" w:hAnsi="Arial"/>
          <w:b/>
          <w:bCs/>
          <w:color w:val="2E75B6"/>
          <w:sz w:val="22"/>
          <w:szCs w:val="22"/>
        </w:rPr>
        <w:t xml:space="preserve">3.1 Access Control</w:t>
      </w:r>
    </w:p>
    <w:p>
      <w:pPr>
        <w:spacing w:after="80"/>
        <w:ind w:left="360"/>
      </w:pPr>
      <w:r>
        <w:rPr>
          <w:rFonts w:ascii="Arial" w:cs="Arial" w:eastAsia="Arial" w:hAnsi="Arial"/>
          <w:b/>
          <w:bCs/>
          <w:color w:val="2E75B6"/>
          <w:sz w:val="20"/>
          <w:szCs w:val="20"/>
        </w:rPr>
        <w:t xml:space="preserve">(a)  </w:t>
      </w:r>
      <w:r>
        <w:rPr>
          <w:rFonts w:ascii="Arial" w:cs="Arial" w:eastAsia="Arial" w:hAnsi="Arial"/>
          <w:color w:val="333333"/>
          <w:sz w:val="20"/>
          <w:szCs w:val="20"/>
        </w:rPr>
        <w:t xml:space="preserve">Provider shall implement multi-factor authentication (MFA) for all remote access, cloud services, privileged accounts, and any system used to access Company’s Confidential Data.</w:t>
      </w:r>
    </w:p>
    <w:p>
      <w:pPr>
        <w:spacing w:after="80"/>
        <w:ind w:left="360"/>
      </w:pPr>
      <w:r>
        <w:rPr>
          <w:rFonts w:ascii="Arial" w:cs="Arial" w:eastAsia="Arial" w:hAnsi="Arial"/>
          <w:b/>
          <w:bCs/>
          <w:color w:val="2E75B6"/>
          <w:sz w:val="20"/>
          <w:szCs w:val="20"/>
        </w:rPr>
        <w:t xml:space="preserve">(b)  </w:t>
      </w:r>
      <w:r>
        <w:rPr>
          <w:rFonts w:ascii="Arial" w:cs="Arial" w:eastAsia="Arial" w:hAnsi="Arial"/>
          <w:color w:val="333333"/>
          <w:sz w:val="20"/>
          <w:szCs w:val="20"/>
        </w:rPr>
        <w:t xml:space="preserve">Provider shall enforce the principle of least privilege, granting access only to personnel who require it for legitimate business purposes and revoking access promptly upon role change or termination.</w:t>
      </w:r>
    </w:p>
    <w:p>
      <w:pPr>
        <w:spacing w:after="80"/>
        <w:ind w:left="360"/>
      </w:pPr>
      <w:r>
        <w:rPr>
          <w:rFonts w:ascii="Arial" w:cs="Arial" w:eastAsia="Arial" w:hAnsi="Arial"/>
          <w:b/>
          <w:bCs/>
          <w:color w:val="2E75B6"/>
          <w:sz w:val="20"/>
          <w:szCs w:val="20"/>
        </w:rPr>
        <w:t xml:space="preserve">(c)  </w:t>
      </w:r>
      <w:r>
        <w:rPr>
          <w:rFonts w:ascii="Arial" w:cs="Arial" w:eastAsia="Arial" w:hAnsi="Arial"/>
          <w:color w:val="333333"/>
          <w:sz w:val="20"/>
          <w:szCs w:val="20"/>
        </w:rPr>
        <w:t xml:space="preserve">Provider shall prohibit the use of shared or generic accounts for accessing Confidential Data and shall maintain unique user credentials for all personnel.</w:t>
      </w:r>
    </w:p>
    <w:p>
      <w:pPr>
        <w:spacing w:after="80"/>
        <w:ind w:left="360"/>
      </w:pPr>
      <w:r>
        <w:rPr>
          <w:rFonts w:ascii="Arial" w:cs="Arial" w:eastAsia="Arial" w:hAnsi="Arial"/>
          <w:b/>
          <w:bCs/>
          <w:color w:val="2E75B6"/>
          <w:sz w:val="20"/>
          <w:szCs w:val="20"/>
        </w:rPr>
        <w:t xml:space="preserve">(d)  </w:t>
      </w:r>
      <w:r>
        <w:rPr>
          <w:rFonts w:ascii="Arial" w:cs="Arial" w:eastAsia="Arial" w:hAnsi="Arial"/>
          <w:color w:val="333333"/>
          <w:sz w:val="20"/>
          <w:szCs w:val="20"/>
        </w:rPr>
        <w:t xml:space="preserve">Provider shall enforce strong password policies requiring a minimum of [14] characters with complexity requirements, or implement equivalent authentication controls.</w:t>
      </w:r>
    </w:p>
    <w:p>
      <w:r>
        <w:br w:type="page"/>
      </w:r>
    </w:p>
    <w:p>
      <w:pPr>
        <w:pStyle w:val="Heading2"/>
        <w:spacing w:before="220" w:after="80"/>
      </w:pPr>
      <w:r>
        <w:rPr>
          <w:rFonts w:ascii="Arial" w:cs="Arial" w:eastAsia="Arial" w:hAnsi="Arial"/>
          <w:b/>
          <w:bCs/>
          <w:color w:val="2E75B6"/>
          <w:sz w:val="22"/>
          <w:szCs w:val="22"/>
        </w:rPr>
        <w:t xml:space="preserve">3.2 Encryption</w:t>
      </w:r>
    </w:p>
    <w:p>
      <w:pPr>
        <w:spacing w:after="80"/>
        <w:ind w:left="360"/>
      </w:pPr>
      <w:r>
        <w:rPr>
          <w:rFonts w:ascii="Arial" w:cs="Arial" w:eastAsia="Arial" w:hAnsi="Arial"/>
          <w:b/>
          <w:bCs/>
          <w:color w:val="2E75B6"/>
          <w:sz w:val="20"/>
          <w:szCs w:val="20"/>
        </w:rPr>
        <w:t xml:space="preserve">(a)  </w:t>
      </w:r>
      <w:r>
        <w:rPr>
          <w:rFonts w:ascii="Arial" w:cs="Arial" w:eastAsia="Arial" w:hAnsi="Arial"/>
          <w:color w:val="333333"/>
          <w:sz w:val="20"/>
          <w:szCs w:val="20"/>
        </w:rPr>
        <w:t xml:space="preserve">Provider shall encrypt all Confidential Data at rest using AES-256 or equivalent encryption standard.</w:t>
      </w:r>
    </w:p>
    <w:p>
      <w:pPr>
        <w:spacing w:after="80"/>
        <w:ind w:left="360"/>
      </w:pPr>
      <w:r>
        <w:rPr>
          <w:rFonts w:ascii="Arial" w:cs="Arial" w:eastAsia="Arial" w:hAnsi="Arial"/>
          <w:b/>
          <w:bCs/>
          <w:color w:val="2E75B6"/>
          <w:sz w:val="20"/>
          <w:szCs w:val="20"/>
        </w:rPr>
        <w:t xml:space="preserve">(b)  </w:t>
      </w:r>
      <w:r>
        <w:rPr>
          <w:rFonts w:ascii="Arial" w:cs="Arial" w:eastAsia="Arial" w:hAnsi="Arial"/>
          <w:color w:val="333333"/>
          <w:sz w:val="20"/>
          <w:szCs w:val="20"/>
        </w:rPr>
        <w:t xml:space="preserve">Provider shall encrypt all Confidential Data in transit using TLS 1.2 or higher.</w:t>
      </w:r>
    </w:p>
    <w:p>
      <w:pPr>
        <w:spacing w:after="80"/>
        <w:ind w:left="360"/>
      </w:pPr>
      <w:r>
        <w:rPr>
          <w:rFonts w:ascii="Arial" w:cs="Arial" w:eastAsia="Arial" w:hAnsi="Arial"/>
          <w:b/>
          <w:bCs/>
          <w:color w:val="2E75B6"/>
          <w:sz w:val="20"/>
          <w:szCs w:val="20"/>
        </w:rPr>
        <w:t xml:space="preserve">(c)  </w:t>
      </w:r>
      <w:r>
        <w:rPr>
          <w:rFonts w:ascii="Arial" w:cs="Arial" w:eastAsia="Arial" w:hAnsi="Arial"/>
          <w:color w:val="333333"/>
          <w:sz w:val="20"/>
          <w:szCs w:val="20"/>
        </w:rPr>
        <w:t xml:space="preserve">Provider shall manage encryption keys in accordance with industry best practices, including key rotation, separation of duties, and secure key storage.</w:t>
      </w:r>
    </w:p>
    <w:p>
      <w:pPr>
        <w:pStyle w:val="Heading2"/>
        <w:spacing w:before="220" w:after="80"/>
      </w:pPr>
      <w:r>
        <w:rPr>
          <w:rFonts w:ascii="Arial" w:cs="Arial" w:eastAsia="Arial" w:hAnsi="Arial"/>
          <w:b/>
          <w:bCs/>
          <w:color w:val="2E75B6"/>
          <w:sz w:val="22"/>
          <w:szCs w:val="22"/>
        </w:rPr>
        <w:t xml:space="preserve">3.3 Network Security</w:t>
      </w:r>
    </w:p>
    <w:p>
      <w:pPr>
        <w:spacing w:after="80"/>
        <w:ind w:left="360"/>
      </w:pPr>
      <w:r>
        <w:rPr>
          <w:rFonts w:ascii="Arial" w:cs="Arial" w:eastAsia="Arial" w:hAnsi="Arial"/>
          <w:b/>
          <w:bCs/>
          <w:color w:val="2E75B6"/>
          <w:sz w:val="20"/>
          <w:szCs w:val="20"/>
        </w:rPr>
        <w:t xml:space="preserve">(a)  </w:t>
      </w:r>
      <w:r>
        <w:rPr>
          <w:rFonts w:ascii="Arial" w:cs="Arial" w:eastAsia="Arial" w:hAnsi="Arial"/>
          <w:color w:val="333333"/>
          <w:sz w:val="20"/>
          <w:szCs w:val="20"/>
        </w:rPr>
        <w:t xml:space="preserve">Provider shall maintain enterprise-grade firewalls, intrusion detection/prevention systems (IDS/IPS), and network segmentation to isolate Confidential Data from other systems and clients.</w:t>
      </w:r>
    </w:p>
    <w:p>
      <w:pPr>
        <w:spacing w:after="80"/>
        <w:ind w:left="360"/>
      </w:pPr>
      <w:r>
        <w:rPr>
          <w:rFonts w:ascii="Arial" w:cs="Arial" w:eastAsia="Arial" w:hAnsi="Arial"/>
          <w:b/>
          <w:bCs/>
          <w:color w:val="2E75B6"/>
          <w:sz w:val="20"/>
          <w:szCs w:val="20"/>
        </w:rPr>
        <w:t xml:space="preserve">(b)  </w:t>
      </w:r>
      <w:r>
        <w:rPr>
          <w:rFonts w:ascii="Arial" w:cs="Arial" w:eastAsia="Arial" w:hAnsi="Arial"/>
          <w:color w:val="333333"/>
          <w:sz w:val="20"/>
          <w:szCs w:val="20"/>
        </w:rPr>
        <w:t xml:space="preserve">Provider shall deploy endpoint detection and response (EDR) solutions on all endpoints that access or process Confidential Data.</w:t>
      </w:r>
    </w:p>
    <w:p>
      <w:pPr>
        <w:spacing w:after="80"/>
        <w:ind w:left="360"/>
      </w:pPr>
      <w:r>
        <w:rPr>
          <w:rFonts w:ascii="Arial" w:cs="Arial" w:eastAsia="Arial" w:hAnsi="Arial"/>
          <w:b/>
          <w:bCs/>
          <w:color w:val="2E75B6"/>
          <w:sz w:val="20"/>
          <w:szCs w:val="20"/>
        </w:rPr>
        <w:t xml:space="preserve">(c)  </w:t>
      </w:r>
      <w:r>
        <w:rPr>
          <w:rFonts w:ascii="Arial" w:cs="Arial" w:eastAsia="Arial" w:hAnsi="Arial"/>
          <w:color w:val="333333"/>
          <w:sz w:val="20"/>
          <w:szCs w:val="20"/>
        </w:rPr>
        <w:t xml:space="preserve">Provider shall apply critical security patches within [30] days of release and emergency patches within [72] hours of notification of active exploitation.</w:t>
      </w:r>
    </w:p>
    <w:p>
      <w:pPr>
        <w:pStyle w:val="Heading2"/>
        <w:spacing w:before="220" w:after="80"/>
      </w:pPr>
      <w:r>
        <w:rPr>
          <w:rFonts w:ascii="Arial" w:cs="Arial" w:eastAsia="Arial" w:hAnsi="Arial"/>
          <w:b/>
          <w:bCs/>
          <w:color w:val="2E75B6"/>
          <w:sz w:val="22"/>
          <w:szCs w:val="22"/>
        </w:rPr>
        <w:t xml:space="preserve">3.4 Email Security</w:t>
      </w:r>
    </w:p>
    <w:p>
      <w:pPr>
        <w:spacing w:after="80"/>
        <w:ind w:left="360"/>
      </w:pPr>
      <w:r>
        <w:rPr>
          <w:rFonts w:ascii="Arial" w:cs="Arial" w:eastAsia="Arial" w:hAnsi="Arial"/>
          <w:b/>
          <w:bCs/>
          <w:color w:val="2E75B6"/>
          <w:sz w:val="20"/>
          <w:szCs w:val="20"/>
        </w:rPr>
        <w:t xml:space="preserve">(a)  </w:t>
      </w:r>
      <w:r>
        <w:rPr>
          <w:rFonts w:ascii="Arial" w:cs="Arial" w:eastAsia="Arial" w:hAnsi="Arial"/>
          <w:color w:val="333333"/>
          <w:sz w:val="20"/>
          <w:szCs w:val="20"/>
        </w:rPr>
        <w:t xml:space="preserve">Provider shall implement DMARC, DKIM, and SPF email authentication on all domains used in communications with Company.</w:t>
      </w:r>
    </w:p>
    <w:p>
      <w:pPr>
        <w:spacing w:after="80"/>
        <w:ind w:left="360"/>
      </w:pPr>
      <w:r>
        <w:rPr>
          <w:rFonts w:ascii="Arial" w:cs="Arial" w:eastAsia="Arial" w:hAnsi="Arial"/>
          <w:b/>
          <w:bCs/>
          <w:color w:val="2E75B6"/>
          <w:sz w:val="20"/>
          <w:szCs w:val="20"/>
        </w:rPr>
        <w:t xml:space="preserve">(b)  </w:t>
      </w:r>
      <w:r>
        <w:rPr>
          <w:rFonts w:ascii="Arial" w:cs="Arial" w:eastAsia="Arial" w:hAnsi="Arial"/>
          <w:color w:val="333333"/>
          <w:sz w:val="20"/>
          <w:szCs w:val="20"/>
        </w:rPr>
        <w:t xml:space="preserve">Provider shall deploy advanced email threat protection, including anti-phishing, anti-spoofing, and attachment sandboxing capabilities.</w:t>
      </w:r>
    </w:p>
    <w:p>
      <w:pPr>
        <w:pStyle w:val="Heading2"/>
        <w:spacing w:before="220" w:after="80"/>
      </w:pPr>
      <w:r>
        <w:rPr>
          <w:rFonts w:ascii="Arial" w:cs="Arial" w:eastAsia="Arial" w:hAnsi="Arial"/>
          <w:b/>
          <w:bCs/>
          <w:color w:val="2E75B6"/>
          <w:sz w:val="22"/>
          <w:szCs w:val="22"/>
        </w:rPr>
        <w:t xml:space="preserve">3.5 Monitoring and Logging</w:t>
      </w:r>
    </w:p>
    <w:p>
      <w:pPr>
        <w:spacing w:after="80"/>
        <w:ind w:left="360"/>
      </w:pPr>
      <w:r>
        <w:rPr>
          <w:rFonts w:ascii="Arial" w:cs="Arial" w:eastAsia="Arial" w:hAnsi="Arial"/>
          <w:b/>
          <w:bCs/>
          <w:color w:val="2E75B6"/>
          <w:sz w:val="20"/>
          <w:szCs w:val="20"/>
        </w:rPr>
        <w:t xml:space="preserve">(a)  </w:t>
      </w:r>
      <w:r>
        <w:rPr>
          <w:rFonts w:ascii="Arial" w:cs="Arial" w:eastAsia="Arial" w:hAnsi="Arial"/>
          <w:color w:val="333333"/>
          <w:sz w:val="20"/>
          <w:szCs w:val="20"/>
        </w:rPr>
        <w:t xml:space="preserve">Provider shall maintain security event logging for all systems that access, process, or store Confidential Data, including access logs, authentication events, configuration changes, and data transfers.</w:t>
      </w:r>
    </w:p>
    <w:p>
      <w:pPr>
        <w:spacing w:after="80"/>
        <w:ind w:left="360"/>
      </w:pPr>
      <w:r>
        <w:rPr>
          <w:rFonts w:ascii="Arial" w:cs="Arial" w:eastAsia="Arial" w:hAnsi="Arial"/>
          <w:b/>
          <w:bCs/>
          <w:color w:val="2E75B6"/>
          <w:sz w:val="20"/>
          <w:szCs w:val="20"/>
        </w:rPr>
        <w:t xml:space="preserve">(b)  </w:t>
      </w:r>
      <w:r>
        <w:rPr>
          <w:rFonts w:ascii="Arial" w:cs="Arial" w:eastAsia="Arial" w:hAnsi="Arial"/>
          <w:color w:val="333333"/>
          <w:sz w:val="20"/>
          <w:szCs w:val="20"/>
        </w:rPr>
        <w:t xml:space="preserve">Provider shall retain security logs for a minimum of [12] months and make them available to Company upon request in connection with a Security Incident investigation.</w:t>
      </w:r>
    </w:p>
    <w:p>
      <w:pPr>
        <w:spacing w:after="80"/>
        <w:ind w:left="360"/>
      </w:pPr>
      <w:r>
        <w:rPr>
          <w:rFonts w:ascii="Arial" w:cs="Arial" w:eastAsia="Arial" w:hAnsi="Arial"/>
          <w:b/>
          <w:bCs/>
          <w:color w:val="2E75B6"/>
          <w:sz w:val="20"/>
          <w:szCs w:val="20"/>
        </w:rPr>
        <w:t xml:space="preserve">(c)  </w:t>
      </w:r>
      <w:r>
        <w:rPr>
          <w:rFonts w:ascii="Arial" w:cs="Arial" w:eastAsia="Arial" w:hAnsi="Arial"/>
          <w:color w:val="333333"/>
          <w:sz w:val="20"/>
          <w:szCs w:val="20"/>
        </w:rPr>
        <w:t xml:space="preserve">Provider shall implement 24/7 security monitoring, either internally or through a managed security operations center (SOC), with defined escalation procedures for suspected incidents.</w:t>
      </w:r>
    </w:p>
    <w:p>
      <w:r>
        <w:br w:type="page"/>
      </w:r>
    </w:p>
    <w:p>
      <w:pPr>
        <w:pStyle w:val="Heading2"/>
        <w:spacing w:before="260" w:after="80"/>
      </w:pPr>
      <w:r>
        <w:rPr>
          <w:rFonts w:ascii="Arial" w:cs="Arial" w:eastAsia="Arial" w:hAnsi="Arial"/>
          <w:b/>
          <w:bCs/>
          <w:color w:val="1B3A5C"/>
          <w:sz w:val="22"/>
          <w:szCs w:val="22"/>
        </w:rPr>
        <w:t xml:space="preserve">4. Security Incident Response and Notification</w:t>
      </w:r>
    </w:p>
    <w:p>
      <w:pPr>
        <w:spacing w:after="80"/>
        <w:ind w:left="360"/>
      </w:pPr>
      <w:r>
        <w:rPr>
          <w:rFonts w:ascii="Arial" w:cs="Arial" w:eastAsia="Arial" w:hAnsi="Arial"/>
          <w:b/>
          <w:bCs/>
          <w:color w:val="2E75B6"/>
          <w:sz w:val="20"/>
          <w:szCs w:val="20"/>
        </w:rPr>
        <w:t xml:space="preserve">4.1  </w:t>
      </w:r>
      <w:r>
        <w:rPr>
          <w:rFonts w:ascii="Arial" w:cs="Arial" w:eastAsia="Arial" w:hAnsi="Arial"/>
          <w:color w:val="333333"/>
          <w:sz w:val="20"/>
          <w:szCs w:val="20"/>
        </w:rPr>
        <w:t xml:space="preserve">Provider shall maintain a documented incident response plan that is tested at least annually through tabletop exercises or simulations.</w:t>
      </w:r>
    </w:p>
    <w:p>
      <w:pPr>
        <w:spacing w:after="80"/>
        <w:ind w:left="360"/>
      </w:pPr>
      <w:r>
        <w:rPr>
          <w:rFonts w:ascii="Arial" w:cs="Arial" w:eastAsia="Arial" w:hAnsi="Arial"/>
          <w:b/>
          <w:bCs/>
          <w:color w:val="2E75B6"/>
          <w:sz w:val="20"/>
          <w:szCs w:val="20"/>
        </w:rPr>
        <w:t xml:space="preserve">4.2  </w:t>
      </w:r>
      <w:r>
        <w:rPr>
          <w:rFonts w:ascii="Arial" w:cs="Arial" w:eastAsia="Arial" w:hAnsi="Arial"/>
          <w:color w:val="333333"/>
          <w:sz w:val="20"/>
          <w:szCs w:val="20"/>
        </w:rPr>
        <w:t xml:space="preserve">Provider shall notify Company of any confirmed or suspected Security Incident </w:t>
      </w:r>
      <w:r>
        <w:rPr>
          <w:rFonts w:ascii="Arial" w:cs="Arial" w:eastAsia="Arial" w:hAnsi="Arial"/>
          <w:b/>
          <w:bCs/>
          <w:color w:val="333333"/>
          <w:sz w:val="20"/>
          <w:szCs w:val="20"/>
        </w:rPr>
        <w:t xml:space="preserve">within [24] hours</w:t>
      </w:r>
      <w:r>
        <w:rPr>
          <w:rFonts w:ascii="Arial" w:cs="Arial" w:eastAsia="Arial" w:hAnsi="Arial"/>
          <w:color w:val="333333"/>
          <w:sz w:val="20"/>
          <w:szCs w:val="20"/>
        </w:rPr>
        <w:t xml:space="preserve"> of discovery. Notification shall include, at minimum:</w:t>
      </w:r>
    </w:p>
    <w:p>
      <w:pPr>
        <w:spacing w:after="60"/>
        <w:ind w:left="720"/>
      </w:pPr>
      <w:r>
        <w:rPr>
          <w:rFonts w:ascii="Arial" w:cs="Arial" w:eastAsia="Arial" w:hAnsi="Arial"/>
          <w:color w:val="333333"/>
          <w:sz w:val="19"/>
          <w:szCs w:val="19"/>
        </w:rPr>
        <w:t xml:space="preserve">•  The nature and scope of the incident</w:t>
      </w:r>
    </w:p>
    <w:p>
      <w:pPr>
        <w:spacing w:after="60"/>
        <w:ind w:left="720"/>
      </w:pPr>
      <w:r>
        <w:rPr>
          <w:rFonts w:ascii="Arial" w:cs="Arial" w:eastAsia="Arial" w:hAnsi="Arial"/>
          <w:color w:val="333333"/>
          <w:sz w:val="19"/>
          <w:szCs w:val="19"/>
        </w:rPr>
        <w:t xml:space="preserve">•  The date and time of discovery</w:t>
      </w:r>
    </w:p>
    <w:p>
      <w:pPr>
        <w:spacing w:after="60"/>
        <w:ind w:left="720"/>
      </w:pPr>
      <w:r>
        <w:rPr>
          <w:rFonts w:ascii="Arial" w:cs="Arial" w:eastAsia="Arial" w:hAnsi="Arial"/>
          <w:color w:val="333333"/>
          <w:sz w:val="19"/>
          <w:szCs w:val="19"/>
        </w:rPr>
        <w:t xml:space="preserve">•  The types and approximate volume of Confidential Data affected</w:t>
      </w:r>
    </w:p>
    <w:p>
      <w:pPr>
        <w:spacing w:after="60"/>
        <w:ind w:left="720"/>
      </w:pPr>
      <w:r>
        <w:rPr>
          <w:rFonts w:ascii="Arial" w:cs="Arial" w:eastAsia="Arial" w:hAnsi="Arial"/>
          <w:color w:val="333333"/>
          <w:sz w:val="19"/>
          <w:szCs w:val="19"/>
        </w:rPr>
        <w:t xml:space="preserve">•  Actions taken to contain and remediate the incident</w:t>
      </w:r>
    </w:p>
    <w:p>
      <w:pPr>
        <w:spacing w:after="60"/>
        <w:ind w:left="720"/>
      </w:pPr>
      <w:r>
        <w:rPr>
          <w:rFonts w:ascii="Arial" w:cs="Arial" w:eastAsia="Arial" w:hAnsi="Arial"/>
          <w:color w:val="333333"/>
          <w:sz w:val="19"/>
          <w:szCs w:val="19"/>
        </w:rPr>
        <w:t xml:space="preserve">•  A designated point of contact for ongoing communication</w:t>
      </w:r>
    </w:p>
    <w:p>
      <w:pPr>
        <w:spacing w:after="80"/>
        <w:ind w:left="360"/>
      </w:pPr>
      <w:r>
        <w:rPr>
          <w:rFonts w:ascii="Arial" w:cs="Arial" w:eastAsia="Arial" w:hAnsi="Arial"/>
          <w:b/>
          <w:bCs/>
          <w:color w:val="2E75B6"/>
          <w:sz w:val="20"/>
          <w:szCs w:val="20"/>
        </w:rPr>
        <w:t xml:space="preserve">4.3  </w:t>
      </w:r>
      <w:r>
        <w:rPr>
          <w:rFonts w:ascii="Arial" w:cs="Arial" w:eastAsia="Arial" w:hAnsi="Arial"/>
          <w:color w:val="333333"/>
          <w:sz w:val="20"/>
          <w:szCs w:val="20"/>
        </w:rPr>
        <w:t xml:space="preserve">Provider shall cooperate fully with Company’s investigation of any Security Incident, including providing access to relevant logs, personnel, systems, and forensic evidence at no additional cost to Company.</w:t>
      </w:r>
    </w:p>
    <w:p>
      <w:pPr>
        <w:spacing w:after="80"/>
        <w:ind w:left="360"/>
      </w:pPr>
      <w:r>
        <w:rPr>
          <w:rFonts w:ascii="Arial" w:cs="Arial" w:eastAsia="Arial" w:hAnsi="Arial"/>
          <w:b/>
          <w:bCs/>
          <w:color w:val="2E75B6"/>
          <w:sz w:val="20"/>
          <w:szCs w:val="20"/>
        </w:rPr>
        <w:t xml:space="preserve">4.4  </w:t>
      </w:r>
      <w:r>
        <w:rPr>
          <w:rFonts w:ascii="Arial" w:cs="Arial" w:eastAsia="Arial" w:hAnsi="Arial"/>
          <w:color w:val="333333"/>
          <w:sz w:val="20"/>
          <w:szCs w:val="20"/>
        </w:rPr>
        <w:t xml:space="preserve">Provider shall not make any public statements, notifications to affected individuals, or regulatory filings related to a Security Incident involving Company’s Confidential Data without Company’s prior written consent, except as required by applicable law.</w:t>
      </w:r>
    </w:p>
    <w:p>
      <w:pPr>
        <w:spacing w:after="80"/>
        <w:ind w:left="360"/>
      </w:pPr>
      <w:r>
        <w:rPr>
          <w:rFonts w:ascii="Arial" w:cs="Arial" w:eastAsia="Arial" w:hAnsi="Arial"/>
          <w:b/>
          <w:bCs/>
          <w:color w:val="2E75B6"/>
          <w:sz w:val="20"/>
          <w:szCs w:val="20"/>
        </w:rPr>
        <w:t xml:space="preserve">4.5  </w:t>
      </w:r>
      <w:r>
        <w:rPr>
          <w:rFonts w:ascii="Arial" w:cs="Arial" w:eastAsia="Arial" w:hAnsi="Arial"/>
          <w:color w:val="333333"/>
          <w:sz w:val="20"/>
          <w:szCs w:val="20"/>
        </w:rPr>
        <w:t xml:space="preserve">Provider shall implement corrective actions to address the root cause of any Security Incident and provide Company with a written remediation report within [30] days of incident resolution.</w:t>
      </w:r>
    </w:p>
    <w:p>
      <w:pPr>
        <w:pStyle w:val="Heading2"/>
        <w:spacing w:before="260" w:after="80"/>
      </w:pPr>
      <w:r>
        <w:rPr>
          <w:rFonts w:ascii="Arial" w:cs="Arial" w:eastAsia="Arial" w:hAnsi="Arial"/>
          <w:b/>
          <w:bCs/>
          <w:color w:val="1B3A5C"/>
          <w:sz w:val="22"/>
          <w:szCs w:val="22"/>
        </w:rPr>
        <w:t xml:space="preserve">5. Data Handling, Storage, and Return</w:t>
      </w:r>
    </w:p>
    <w:p>
      <w:pPr>
        <w:spacing w:after="80"/>
        <w:ind w:left="360"/>
      </w:pPr>
      <w:r>
        <w:rPr>
          <w:rFonts w:ascii="Arial" w:cs="Arial" w:eastAsia="Arial" w:hAnsi="Arial"/>
          <w:b/>
          <w:bCs/>
          <w:color w:val="2E75B6"/>
          <w:sz w:val="20"/>
          <w:szCs w:val="20"/>
        </w:rPr>
        <w:t xml:space="preserve">5.1  </w:t>
      </w:r>
      <w:r>
        <w:rPr>
          <w:rFonts w:ascii="Arial" w:cs="Arial" w:eastAsia="Arial" w:hAnsi="Arial"/>
          <w:color w:val="333333"/>
          <w:sz w:val="20"/>
          <w:szCs w:val="20"/>
        </w:rPr>
        <w:t xml:space="preserve">Provider shall process Confidential Data only for the purposes specified in the Master Agreement and only in accordance with Company’s documented instructions.</w:t>
      </w:r>
    </w:p>
    <w:p>
      <w:pPr>
        <w:spacing w:after="80"/>
        <w:ind w:left="360"/>
      </w:pPr>
      <w:r>
        <w:rPr>
          <w:rFonts w:ascii="Arial" w:cs="Arial" w:eastAsia="Arial" w:hAnsi="Arial"/>
          <w:b/>
          <w:bCs/>
          <w:color w:val="2E75B6"/>
          <w:sz w:val="20"/>
          <w:szCs w:val="20"/>
        </w:rPr>
        <w:t xml:space="preserve">5.2  </w:t>
      </w:r>
      <w:r>
        <w:rPr>
          <w:rFonts w:ascii="Arial" w:cs="Arial" w:eastAsia="Arial" w:hAnsi="Arial"/>
          <w:color w:val="333333"/>
          <w:sz w:val="20"/>
          <w:szCs w:val="20"/>
        </w:rPr>
        <w:t xml:space="preserve">Provider shall store Confidential Data only within the United States [or other approved jurisdictions specified by Company] and shall not transfer Confidential Data to any other jurisdiction without prior written consent.</w:t>
      </w:r>
    </w:p>
    <w:p>
      <w:pPr>
        <w:spacing w:after="80"/>
        <w:ind w:left="360"/>
      </w:pPr>
      <w:r>
        <w:rPr>
          <w:rFonts w:ascii="Arial" w:cs="Arial" w:eastAsia="Arial" w:hAnsi="Arial"/>
          <w:b/>
          <w:bCs/>
          <w:color w:val="2E75B6"/>
          <w:sz w:val="20"/>
          <w:szCs w:val="20"/>
        </w:rPr>
        <w:t xml:space="preserve">5.3  </w:t>
      </w:r>
      <w:r>
        <w:rPr>
          <w:rFonts w:ascii="Arial" w:cs="Arial" w:eastAsia="Arial" w:hAnsi="Arial"/>
          <w:color w:val="333333"/>
          <w:sz w:val="20"/>
          <w:szCs w:val="20"/>
        </w:rPr>
        <w:t xml:space="preserve">Upon termination or expiration of the Master Agreement, or upon Company’s written request, Provider shall securely return or destroy all Confidential Data within [30] days and provide written certification of destruction, including the method of destruction used.</w:t>
      </w:r>
    </w:p>
    <w:p>
      <w:pPr>
        <w:spacing w:after="80"/>
        <w:ind w:left="360"/>
      </w:pPr>
      <w:r>
        <w:rPr>
          <w:rFonts w:ascii="Arial" w:cs="Arial" w:eastAsia="Arial" w:hAnsi="Arial"/>
          <w:b/>
          <w:bCs/>
          <w:color w:val="2E75B6"/>
          <w:sz w:val="20"/>
          <w:szCs w:val="20"/>
        </w:rPr>
        <w:t xml:space="preserve">5.4  </w:t>
      </w:r>
      <w:r>
        <w:rPr>
          <w:rFonts w:ascii="Arial" w:cs="Arial" w:eastAsia="Arial" w:hAnsi="Arial"/>
          <w:color w:val="333333"/>
          <w:sz w:val="20"/>
          <w:szCs w:val="20"/>
        </w:rPr>
        <w:t xml:space="preserve">Provider shall maintain a data retention schedule that is no longer than necessary for the purposes of the engagement and shall comply with any retention or deletion instructions from Company.</w:t>
      </w:r>
    </w:p>
    <w:p>
      <w:r>
        <w:br w:type="page"/>
      </w:r>
    </w:p>
    <w:p>
      <w:pPr>
        <w:pStyle w:val="Heading2"/>
        <w:spacing w:before="260" w:after="80"/>
      </w:pPr>
      <w:r>
        <w:rPr>
          <w:rFonts w:ascii="Arial" w:cs="Arial" w:eastAsia="Arial" w:hAnsi="Arial"/>
          <w:b/>
          <w:bCs/>
          <w:color w:val="1B3A5C"/>
          <w:sz w:val="22"/>
          <w:szCs w:val="22"/>
        </w:rPr>
        <w:t xml:space="preserve">6. Security Assessments and Audit Rights</w:t>
      </w:r>
    </w:p>
    <w:p>
      <w:pPr>
        <w:spacing w:after="80"/>
        <w:ind w:left="360"/>
      </w:pPr>
      <w:r>
        <w:rPr>
          <w:rFonts w:ascii="Arial" w:cs="Arial" w:eastAsia="Arial" w:hAnsi="Arial"/>
          <w:b/>
          <w:bCs/>
          <w:color w:val="2E75B6"/>
          <w:sz w:val="20"/>
          <w:szCs w:val="20"/>
        </w:rPr>
        <w:t xml:space="preserve">6.1  </w:t>
      </w:r>
      <w:r>
        <w:rPr>
          <w:rFonts w:ascii="Arial" w:cs="Arial" w:eastAsia="Arial" w:hAnsi="Arial"/>
          <w:color w:val="333333"/>
          <w:sz w:val="20"/>
          <w:szCs w:val="20"/>
        </w:rPr>
        <w:t xml:space="preserve">Provider shall complete Company’s Vendor Security Questionnaire prior to the commencement of services and annually thereafter, or upon material changes to Provider’s security posture.</w:t>
      </w:r>
    </w:p>
    <w:p>
      <w:pPr>
        <w:spacing w:after="80"/>
        <w:ind w:left="360"/>
      </w:pPr>
      <w:r>
        <w:rPr>
          <w:rFonts w:ascii="Arial" w:cs="Arial" w:eastAsia="Arial" w:hAnsi="Arial"/>
          <w:b/>
          <w:bCs/>
          <w:color w:val="2E75B6"/>
          <w:sz w:val="20"/>
          <w:szCs w:val="20"/>
        </w:rPr>
        <w:t xml:space="preserve">6.2  </w:t>
      </w:r>
      <w:r>
        <w:rPr>
          <w:rFonts w:ascii="Arial" w:cs="Arial" w:eastAsia="Arial" w:hAnsi="Arial"/>
          <w:color w:val="333333"/>
          <w:sz w:val="20"/>
          <w:szCs w:val="20"/>
        </w:rPr>
        <w:t xml:space="preserve">Provider shall submit to security assessments, audits, or penetration tests conducted by Company or Company’s designated third-party assessor, with [30] days’ prior written notice, at no additional cost to Company.</w:t>
      </w:r>
    </w:p>
    <w:p>
      <w:pPr>
        <w:spacing w:after="80"/>
        <w:ind w:left="360"/>
      </w:pPr>
      <w:r>
        <w:rPr>
          <w:rFonts w:ascii="Arial" w:cs="Arial" w:eastAsia="Arial" w:hAnsi="Arial"/>
          <w:b/>
          <w:bCs/>
          <w:color w:val="2E75B6"/>
          <w:sz w:val="20"/>
          <w:szCs w:val="20"/>
        </w:rPr>
        <w:t xml:space="preserve">6.3  </w:t>
      </w:r>
      <w:r>
        <w:rPr>
          <w:rFonts w:ascii="Arial" w:cs="Arial" w:eastAsia="Arial" w:hAnsi="Arial"/>
          <w:color w:val="333333"/>
          <w:sz w:val="20"/>
          <w:szCs w:val="20"/>
        </w:rPr>
        <w:t xml:space="preserve">Provider shall maintain current certifications or attestations relevant to the services provided, including but not limited to [SOC 2 Type II, ISO 27001, PCI DSS, HITRUST, or equivalent]. Provider shall provide copies of current reports and certifications to Company upon request.</w:t>
      </w:r>
    </w:p>
    <w:p>
      <w:pPr>
        <w:spacing w:after="80"/>
        <w:ind w:left="360"/>
      </w:pPr>
      <w:r>
        <w:rPr>
          <w:rFonts w:ascii="Arial" w:cs="Arial" w:eastAsia="Arial" w:hAnsi="Arial"/>
          <w:b/>
          <w:bCs/>
          <w:color w:val="2E75B6"/>
          <w:sz w:val="20"/>
          <w:szCs w:val="20"/>
        </w:rPr>
        <w:t xml:space="preserve">6.4  </w:t>
      </w:r>
      <w:r>
        <w:rPr>
          <w:rFonts w:ascii="Arial" w:cs="Arial" w:eastAsia="Arial" w:hAnsi="Arial"/>
          <w:color w:val="333333"/>
          <w:sz w:val="20"/>
          <w:szCs w:val="20"/>
        </w:rPr>
        <w:t xml:space="preserve">Provider shall promptly remediate any material security deficiencies identified through assessments, audits, or questionnaires. Material deficiencies not remediated within [90] days shall constitute a material breach of this Addendum.</w:t>
      </w:r>
    </w:p>
    <w:p>
      <w:pPr>
        <w:pStyle w:val="Heading2"/>
        <w:spacing w:before="260" w:after="80"/>
      </w:pPr>
      <w:r>
        <w:rPr>
          <w:rFonts w:ascii="Arial" w:cs="Arial" w:eastAsia="Arial" w:hAnsi="Arial"/>
          <w:b/>
          <w:bCs/>
          <w:color w:val="1B3A5C"/>
          <w:sz w:val="22"/>
          <w:szCs w:val="22"/>
        </w:rPr>
        <w:t xml:space="preserve">7. Subprocessors and Fourth-Party Risk</w:t>
      </w:r>
    </w:p>
    <w:p>
      <w:pPr>
        <w:spacing w:after="80"/>
        <w:ind w:left="360"/>
      </w:pPr>
      <w:r>
        <w:rPr>
          <w:rFonts w:ascii="Arial" w:cs="Arial" w:eastAsia="Arial" w:hAnsi="Arial"/>
          <w:b/>
          <w:bCs/>
          <w:color w:val="2E75B6"/>
          <w:sz w:val="20"/>
          <w:szCs w:val="20"/>
        </w:rPr>
        <w:t xml:space="preserve">7.1  </w:t>
      </w:r>
      <w:r>
        <w:rPr>
          <w:rFonts w:ascii="Arial" w:cs="Arial" w:eastAsia="Arial" w:hAnsi="Arial"/>
          <w:color w:val="333333"/>
          <w:sz w:val="20"/>
          <w:szCs w:val="20"/>
        </w:rPr>
        <w:t xml:space="preserve">Provider shall not engage any Subprocessor to access, process, or store Confidential Data without Company’s prior written consent.</w:t>
      </w:r>
    </w:p>
    <w:p>
      <w:pPr>
        <w:spacing w:after="80"/>
        <w:ind w:left="360"/>
      </w:pPr>
      <w:r>
        <w:rPr>
          <w:rFonts w:ascii="Arial" w:cs="Arial" w:eastAsia="Arial" w:hAnsi="Arial"/>
          <w:b/>
          <w:bCs/>
          <w:color w:val="2E75B6"/>
          <w:sz w:val="20"/>
          <w:szCs w:val="20"/>
        </w:rPr>
        <w:t xml:space="preserve">7.2  </w:t>
      </w:r>
      <w:r>
        <w:rPr>
          <w:rFonts w:ascii="Arial" w:cs="Arial" w:eastAsia="Arial" w:hAnsi="Arial"/>
          <w:color w:val="333333"/>
          <w:sz w:val="20"/>
          <w:szCs w:val="20"/>
        </w:rPr>
        <w:t xml:space="preserve">Provider shall notify Company at least [30] days prior to engaging a new Subprocessor and shall provide the Subprocessor’s name, location, and the services to be performed. Company reserves the right to object to any proposed Subprocessor.</w:t>
      </w:r>
    </w:p>
    <w:p>
      <w:pPr>
        <w:spacing w:after="80"/>
        <w:ind w:left="360"/>
      </w:pPr>
      <w:r>
        <w:rPr>
          <w:rFonts w:ascii="Arial" w:cs="Arial" w:eastAsia="Arial" w:hAnsi="Arial"/>
          <w:b/>
          <w:bCs/>
          <w:color w:val="2E75B6"/>
          <w:sz w:val="20"/>
          <w:szCs w:val="20"/>
        </w:rPr>
        <w:t xml:space="preserve">7.3  </w:t>
      </w:r>
      <w:r>
        <w:rPr>
          <w:rFonts w:ascii="Arial" w:cs="Arial" w:eastAsia="Arial" w:hAnsi="Arial"/>
          <w:color w:val="333333"/>
          <w:sz w:val="20"/>
          <w:szCs w:val="20"/>
        </w:rPr>
        <w:t xml:space="preserve">Provider shall ensure that all Subprocessors are contractually bound by security obligations no less protective than those in this Addendum and shall remain fully liable for any Subprocessor’s failure to meet these obligations.</w:t>
      </w:r>
    </w:p>
    <w:p>
      <w:pPr>
        <w:spacing w:after="80"/>
        <w:ind w:left="360"/>
      </w:pPr>
      <w:r>
        <w:rPr>
          <w:rFonts w:ascii="Arial" w:cs="Arial" w:eastAsia="Arial" w:hAnsi="Arial"/>
          <w:b/>
          <w:bCs/>
          <w:color w:val="2E75B6"/>
          <w:sz w:val="20"/>
          <w:szCs w:val="20"/>
        </w:rPr>
        <w:t xml:space="preserve">7.4  </w:t>
      </w:r>
      <w:r>
        <w:rPr>
          <w:rFonts w:ascii="Arial" w:cs="Arial" w:eastAsia="Arial" w:hAnsi="Arial"/>
          <w:color w:val="333333"/>
          <w:sz w:val="20"/>
          <w:szCs w:val="20"/>
        </w:rPr>
        <w:t xml:space="preserve">Provider shall conduct security assessments of all Subprocessors who access Confidential Data at least annually and shall provide assessment results to Company upon request.</w:t>
      </w:r>
    </w:p>
    <w:p>
      <w:pPr>
        <w:pStyle w:val="Heading2"/>
        <w:spacing w:before="260" w:after="80"/>
      </w:pPr>
      <w:r>
        <w:rPr>
          <w:rFonts w:ascii="Arial" w:cs="Arial" w:eastAsia="Arial" w:hAnsi="Arial"/>
          <w:b/>
          <w:bCs/>
          <w:color w:val="1B3A5C"/>
          <w:sz w:val="22"/>
          <w:szCs w:val="22"/>
        </w:rPr>
        <w:t xml:space="preserve">8. Personnel Security</w:t>
      </w:r>
    </w:p>
    <w:p>
      <w:pPr>
        <w:spacing w:after="80"/>
        <w:ind w:left="360"/>
      </w:pPr>
      <w:r>
        <w:rPr>
          <w:rFonts w:ascii="Arial" w:cs="Arial" w:eastAsia="Arial" w:hAnsi="Arial"/>
          <w:b/>
          <w:bCs/>
          <w:color w:val="2E75B6"/>
          <w:sz w:val="20"/>
          <w:szCs w:val="20"/>
        </w:rPr>
        <w:t xml:space="preserve">8.1  </w:t>
      </w:r>
      <w:r>
        <w:rPr>
          <w:rFonts w:ascii="Arial" w:cs="Arial" w:eastAsia="Arial" w:hAnsi="Arial"/>
          <w:color w:val="333333"/>
          <w:sz w:val="20"/>
          <w:szCs w:val="20"/>
        </w:rPr>
        <w:t xml:space="preserve">Provider shall conduct background checks on all personnel who access Confidential Data, to the extent permitted by applicable law.</w:t>
      </w:r>
    </w:p>
    <w:p>
      <w:pPr>
        <w:spacing w:after="80"/>
        <w:ind w:left="360"/>
      </w:pPr>
      <w:r>
        <w:rPr>
          <w:rFonts w:ascii="Arial" w:cs="Arial" w:eastAsia="Arial" w:hAnsi="Arial"/>
          <w:b/>
          <w:bCs/>
          <w:color w:val="2E75B6"/>
          <w:sz w:val="20"/>
          <w:szCs w:val="20"/>
        </w:rPr>
        <w:t xml:space="preserve">8.2  </w:t>
      </w:r>
      <w:r>
        <w:rPr>
          <w:rFonts w:ascii="Arial" w:cs="Arial" w:eastAsia="Arial" w:hAnsi="Arial"/>
          <w:color w:val="333333"/>
          <w:sz w:val="20"/>
          <w:szCs w:val="20"/>
        </w:rPr>
        <w:t xml:space="preserve">Provider shall require all personnel who access Confidential Data to complete cybersecurity awareness training at least annually, including training on phishing, social engineering, data handling, and incident reporting.</w:t>
      </w:r>
    </w:p>
    <w:p>
      <w:pPr>
        <w:spacing w:after="80"/>
        <w:ind w:left="360"/>
      </w:pPr>
      <w:r>
        <w:rPr>
          <w:rFonts w:ascii="Arial" w:cs="Arial" w:eastAsia="Arial" w:hAnsi="Arial"/>
          <w:b/>
          <w:bCs/>
          <w:color w:val="2E75B6"/>
          <w:sz w:val="20"/>
          <w:szCs w:val="20"/>
        </w:rPr>
        <w:t xml:space="preserve">8.3  </w:t>
      </w:r>
      <w:r>
        <w:rPr>
          <w:rFonts w:ascii="Arial" w:cs="Arial" w:eastAsia="Arial" w:hAnsi="Arial"/>
          <w:color w:val="333333"/>
          <w:sz w:val="20"/>
          <w:szCs w:val="20"/>
        </w:rPr>
        <w:t xml:space="preserve">Provider shall ensure that all personnel with access to Confidential Data have executed confidentiality or non-disclosure agreements with terms no less protective than those in the Master Agreement.</w:t>
      </w:r>
    </w:p>
    <w:p>
      <w:pPr>
        <w:spacing w:after="80"/>
        <w:ind w:left="360"/>
      </w:pPr>
      <w:r>
        <w:rPr>
          <w:rFonts w:ascii="Arial" w:cs="Arial" w:eastAsia="Arial" w:hAnsi="Arial"/>
          <w:b/>
          <w:bCs/>
          <w:color w:val="2E75B6"/>
          <w:sz w:val="20"/>
          <w:szCs w:val="20"/>
        </w:rPr>
        <w:t xml:space="preserve">8.4  </w:t>
      </w:r>
      <w:r>
        <w:rPr>
          <w:rFonts w:ascii="Arial" w:cs="Arial" w:eastAsia="Arial" w:hAnsi="Arial"/>
          <w:color w:val="333333"/>
          <w:sz w:val="20"/>
          <w:szCs w:val="20"/>
        </w:rPr>
        <w:t xml:space="preserve">Provider shall revoke all access to Company’s data, systems, and facilities within [24] hours of any personnel termination or role change that no longer requires access.</w:t>
      </w:r>
    </w:p>
    <w:p>
      <w:r>
        <w:br w:type="page"/>
      </w:r>
    </w:p>
    <w:p>
      <w:pPr>
        <w:pStyle w:val="Heading2"/>
        <w:spacing w:before="260" w:after="80"/>
      </w:pPr>
      <w:r>
        <w:rPr>
          <w:rFonts w:ascii="Arial" w:cs="Arial" w:eastAsia="Arial" w:hAnsi="Arial"/>
          <w:b/>
          <w:bCs/>
          <w:color w:val="1B3A5C"/>
          <w:sz w:val="22"/>
          <w:szCs w:val="22"/>
        </w:rPr>
        <w:t xml:space="preserve">9. Cyber Insurance Requirements</w:t>
      </w:r>
    </w:p>
    <w:p>
      <w:pPr>
        <w:spacing w:after="80"/>
        <w:ind w:left="360"/>
      </w:pPr>
      <w:r>
        <w:rPr>
          <w:rFonts w:ascii="Arial" w:cs="Arial" w:eastAsia="Arial" w:hAnsi="Arial"/>
          <w:b/>
          <w:bCs/>
          <w:color w:val="2E75B6"/>
          <w:sz w:val="20"/>
          <w:szCs w:val="20"/>
        </w:rPr>
        <w:t xml:space="preserve">9.1  </w:t>
      </w:r>
      <w:r>
        <w:rPr>
          <w:rFonts w:ascii="Arial" w:cs="Arial" w:eastAsia="Arial" w:hAnsi="Arial"/>
          <w:color w:val="333333"/>
          <w:sz w:val="20"/>
          <w:szCs w:val="20"/>
        </w:rPr>
        <w:t xml:space="preserve">Provider shall maintain cyber liability insurance with a minimum coverage limit of </w:t>
      </w:r>
      <w:r>
        <w:rPr>
          <w:rFonts w:ascii="Arial" w:cs="Arial" w:eastAsia="Arial" w:hAnsi="Arial"/>
          <w:b/>
          <w:bCs/>
          <w:color w:val="333333"/>
          <w:sz w:val="20"/>
          <w:szCs w:val="20"/>
        </w:rPr>
        <w:t xml:space="preserve">$[1,000,000]</w:t>
      </w:r>
      <w:r>
        <w:rPr>
          <w:rFonts w:ascii="Arial" w:cs="Arial" w:eastAsia="Arial" w:hAnsi="Arial"/>
          <w:color w:val="333333"/>
          <w:sz w:val="20"/>
          <w:szCs w:val="20"/>
        </w:rPr>
        <w:t xml:space="preserve"> per occurrence and </w:t>
      </w:r>
      <w:r>
        <w:rPr>
          <w:rFonts w:ascii="Arial" w:cs="Arial" w:eastAsia="Arial" w:hAnsi="Arial"/>
          <w:b/>
          <w:bCs/>
          <w:color w:val="333333"/>
          <w:sz w:val="20"/>
          <w:szCs w:val="20"/>
        </w:rPr>
        <w:t xml:space="preserve">$[2,000,000]</w:t>
      </w:r>
      <w:r>
        <w:rPr>
          <w:rFonts w:ascii="Arial" w:cs="Arial" w:eastAsia="Arial" w:hAnsi="Arial"/>
          <w:color w:val="333333"/>
          <w:sz w:val="20"/>
          <w:szCs w:val="20"/>
        </w:rPr>
        <w:t xml:space="preserve"> in the aggregate, or such higher limits as Company may reasonably require based on the nature and volume of Confidential Data processed.</w:t>
      </w:r>
    </w:p>
    <w:p>
      <w:pPr>
        <w:spacing w:after="80"/>
        <w:ind w:left="360"/>
      </w:pPr>
      <w:r>
        <w:rPr>
          <w:rFonts w:ascii="Arial" w:cs="Arial" w:eastAsia="Arial" w:hAnsi="Arial"/>
          <w:b/>
          <w:bCs/>
          <w:color w:val="2E75B6"/>
          <w:sz w:val="20"/>
          <w:szCs w:val="20"/>
        </w:rPr>
        <w:t xml:space="preserve">9.2  </w:t>
      </w:r>
      <w:r>
        <w:rPr>
          <w:rFonts w:ascii="Arial" w:cs="Arial" w:eastAsia="Arial" w:hAnsi="Arial"/>
          <w:color w:val="333333"/>
          <w:sz w:val="20"/>
          <w:szCs w:val="20"/>
        </w:rPr>
        <w:t xml:space="preserve">Provider’s cyber insurance policy shall cover, at minimum: data breach response costs, regulatory defense and penalties, business interruption, cyber extortion (ransomware), social engineering/funds transfer fraud, media liability, and third-party claims arising from a Security Incident.</w:t>
      </w:r>
    </w:p>
    <w:p>
      <w:pPr>
        <w:spacing w:after="80"/>
        <w:ind w:left="360"/>
      </w:pPr>
      <w:r>
        <w:rPr>
          <w:rFonts w:ascii="Arial" w:cs="Arial" w:eastAsia="Arial" w:hAnsi="Arial"/>
          <w:b/>
          <w:bCs/>
          <w:color w:val="2E75B6"/>
          <w:sz w:val="20"/>
          <w:szCs w:val="20"/>
        </w:rPr>
        <w:t xml:space="preserve">9.3  </w:t>
      </w:r>
      <w:r>
        <w:rPr>
          <w:rFonts w:ascii="Arial" w:cs="Arial" w:eastAsia="Arial" w:hAnsi="Arial"/>
          <w:color w:val="333333"/>
          <w:sz w:val="20"/>
          <w:szCs w:val="20"/>
        </w:rPr>
        <w:t xml:space="preserve">Provider shall provide Company with a certificate of insurance evidencing the required cyber coverage within [30] days of execution of this Addendum and annually thereafter. Provider shall provide [30] days’ written notice of any material change, cancellation, or non-renewal of coverage.</w:t>
      </w:r>
    </w:p>
    <w:p>
      <w:pPr>
        <w:spacing w:after="80"/>
        <w:ind w:left="360"/>
      </w:pPr>
      <w:r>
        <w:rPr>
          <w:rFonts w:ascii="Arial" w:cs="Arial" w:eastAsia="Arial" w:hAnsi="Arial"/>
          <w:b/>
          <w:bCs/>
          <w:color w:val="2E75B6"/>
          <w:sz w:val="20"/>
          <w:szCs w:val="20"/>
        </w:rPr>
        <w:t xml:space="preserve">9.4  </w:t>
      </w:r>
      <w:r>
        <w:rPr>
          <w:rFonts w:ascii="Arial" w:cs="Arial" w:eastAsia="Arial" w:hAnsi="Arial"/>
          <w:color w:val="333333"/>
          <w:sz w:val="20"/>
          <w:szCs w:val="20"/>
        </w:rPr>
        <w:t xml:space="preserve">Provider’s cyber insurance shall be issued by a carrier rated A- (Excellent) or higher by AM Best.</w:t>
      </w:r>
    </w:p>
    <w:p>
      <w:pPr>
        <w:spacing w:after="80"/>
        <w:ind w:left="360"/>
      </w:pPr>
      <w:r>
        <w:rPr>
          <w:rFonts w:ascii="Arial" w:cs="Arial" w:eastAsia="Arial" w:hAnsi="Arial"/>
          <w:b/>
          <w:bCs/>
          <w:color w:val="2E75B6"/>
          <w:sz w:val="20"/>
          <w:szCs w:val="20"/>
        </w:rPr>
        <w:t xml:space="preserve">9.5  </w:t>
      </w:r>
      <w:r>
        <w:rPr>
          <w:rFonts w:ascii="Arial" w:cs="Arial" w:eastAsia="Arial" w:hAnsi="Arial"/>
          <w:color w:val="333333"/>
          <w:sz w:val="20"/>
          <w:szCs w:val="20"/>
        </w:rPr>
        <w:t xml:space="preserve">The insurance requirements set forth in this Article do not limit Provider’s liability under this Addendum or the Master Agreement.</w:t>
      </w:r>
    </w:p>
    <w:p>
      <w:pPr>
        <w:pStyle w:val="Heading2"/>
        <w:spacing w:before="260" w:after="80"/>
      </w:pPr>
      <w:r>
        <w:rPr>
          <w:rFonts w:ascii="Arial" w:cs="Arial" w:eastAsia="Arial" w:hAnsi="Arial"/>
          <w:b/>
          <w:bCs/>
          <w:color w:val="1B3A5C"/>
          <w:sz w:val="22"/>
          <w:szCs w:val="22"/>
        </w:rPr>
        <w:t xml:space="preserve">10. Indemnification</w:t>
      </w:r>
    </w:p>
    <w:p>
      <w:pPr>
        <w:spacing w:after="80"/>
        <w:ind w:left="360"/>
      </w:pPr>
      <w:r>
        <w:rPr>
          <w:rFonts w:ascii="Arial" w:cs="Arial" w:eastAsia="Arial" w:hAnsi="Arial"/>
          <w:b/>
          <w:bCs/>
          <w:color w:val="2E75B6"/>
          <w:sz w:val="20"/>
          <w:szCs w:val="20"/>
        </w:rPr>
        <w:t xml:space="preserve">10.1  </w:t>
      </w:r>
      <w:r>
        <w:rPr>
          <w:rFonts w:ascii="Arial" w:cs="Arial" w:eastAsia="Arial" w:hAnsi="Arial"/>
          <w:color w:val="333333"/>
          <w:sz w:val="20"/>
          <w:szCs w:val="20"/>
        </w:rPr>
        <w:t xml:space="preserve">Provider shall indemnify, defend, and hold harmless Company, its officers, directors, employees, and agents from and against any and all claims, damages, losses, liabilities, costs, and expenses (including reasonable attorney’s fees) arising out of or relating to:</w:t>
      </w:r>
    </w:p>
    <w:p>
      <w:pPr>
        <w:spacing w:after="60"/>
        <w:ind w:left="720"/>
      </w:pPr>
      <w:r>
        <w:rPr>
          <w:rFonts w:ascii="Arial" w:cs="Arial" w:eastAsia="Arial" w:hAnsi="Arial"/>
          <w:color w:val="333333"/>
          <w:sz w:val="19"/>
          <w:szCs w:val="19"/>
        </w:rPr>
        <w:t xml:space="preserve">•  Any Security Incident caused by Provider’s failure to comply with this Addendum</w:t>
      </w:r>
    </w:p>
    <w:p>
      <w:pPr>
        <w:spacing w:after="60"/>
        <w:ind w:left="720"/>
      </w:pPr>
      <w:r>
        <w:rPr>
          <w:rFonts w:ascii="Arial" w:cs="Arial" w:eastAsia="Arial" w:hAnsi="Arial"/>
          <w:color w:val="333333"/>
          <w:sz w:val="19"/>
          <w:szCs w:val="19"/>
        </w:rPr>
        <w:t xml:space="preserve">•  Any breach of Provider’s representations, warranties, or obligations under this Addendum</w:t>
      </w:r>
    </w:p>
    <w:p>
      <w:pPr>
        <w:spacing w:after="60"/>
        <w:ind w:left="720"/>
      </w:pPr>
      <w:r>
        <w:rPr>
          <w:rFonts w:ascii="Arial" w:cs="Arial" w:eastAsia="Arial" w:hAnsi="Arial"/>
          <w:color w:val="333333"/>
          <w:sz w:val="19"/>
          <w:szCs w:val="19"/>
        </w:rPr>
        <w:t xml:space="preserve">•  Any violation of applicable data protection laws by Provider or its Subprocessors</w:t>
      </w:r>
    </w:p>
    <w:p>
      <w:pPr>
        <w:spacing w:after="60"/>
        <w:ind w:left="720"/>
      </w:pPr>
      <w:r>
        <w:rPr>
          <w:rFonts w:ascii="Arial" w:cs="Arial" w:eastAsia="Arial" w:hAnsi="Arial"/>
          <w:color w:val="333333"/>
          <w:sz w:val="19"/>
          <w:szCs w:val="19"/>
        </w:rPr>
        <w:t xml:space="preserve">•  Any third-party claims resulting from unauthorized access to or disclosure of Confidential Data while in Provider’s possession or control</w:t>
      </w:r>
    </w:p>
    <w:p>
      <w:pPr>
        <w:spacing w:after="80"/>
        <w:ind w:left="360"/>
      </w:pPr>
      <w:r>
        <w:rPr>
          <w:rFonts w:ascii="Arial" w:cs="Arial" w:eastAsia="Arial" w:hAnsi="Arial"/>
          <w:b/>
          <w:bCs/>
          <w:color w:val="2E75B6"/>
          <w:sz w:val="20"/>
          <w:szCs w:val="20"/>
        </w:rPr>
        <w:t xml:space="preserve">10.2  </w:t>
      </w:r>
      <w:r>
        <w:rPr>
          <w:rFonts w:ascii="Arial" w:cs="Arial" w:eastAsia="Arial" w:hAnsi="Arial"/>
          <w:color w:val="333333"/>
          <w:sz w:val="20"/>
          <w:szCs w:val="20"/>
        </w:rPr>
        <w:t xml:space="preserve">Provider’s indemnification obligations shall include, without limitation, the costs of breach notification, credit monitoring, forensic investigation, regulatory defense, public relations, and any fines or penalties imposed by regulatory authorities.</w:t>
      </w:r>
    </w:p>
    <w:p>
      <w:pPr>
        <w:spacing w:after="80"/>
        <w:ind w:left="360"/>
      </w:pPr>
      <w:r>
        <w:rPr>
          <w:rFonts w:ascii="Arial" w:cs="Arial" w:eastAsia="Arial" w:hAnsi="Arial"/>
          <w:b/>
          <w:bCs/>
          <w:color w:val="2E75B6"/>
          <w:sz w:val="20"/>
          <w:szCs w:val="20"/>
        </w:rPr>
        <w:t xml:space="preserve">10.3  </w:t>
      </w:r>
      <w:r>
        <w:rPr>
          <w:rFonts w:ascii="Arial" w:cs="Arial" w:eastAsia="Arial" w:hAnsi="Arial"/>
          <w:color w:val="333333"/>
          <w:sz w:val="20"/>
          <w:szCs w:val="20"/>
        </w:rPr>
        <w:t xml:space="preserve">The indemnification obligations under this Article shall survive the termination or expiration of the Master Agreement and this Addendum for a period of [3] years.</w:t>
      </w:r>
    </w:p>
    <w:p>
      <w:pPr>
        <w:pStyle w:val="Heading2"/>
        <w:spacing w:before="260" w:after="80"/>
      </w:pPr>
      <w:r>
        <w:rPr>
          <w:rFonts w:ascii="Arial" w:cs="Arial" w:eastAsia="Arial" w:hAnsi="Arial"/>
          <w:b/>
          <w:bCs/>
          <w:color w:val="1B3A5C"/>
          <w:sz w:val="22"/>
          <w:szCs w:val="22"/>
        </w:rPr>
        <w:t xml:space="preserve">11. Business Continuity and Disaster Recovery</w:t>
      </w:r>
    </w:p>
    <w:p>
      <w:pPr>
        <w:spacing w:after="80"/>
        <w:ind w:left="360"/>
      </w:pPr>
      <w:r>
        <w:rPr>
          <w:rFonts w:ascii="Arial" w:cs="Arial" w:eastAsia="Arial" w:hAnsi="Arial"/>
          <w:b/>
          <w:bCs/>
          <w:color w:val="2E75B6"/>
          <w:sz w:val="20"/>
          <w:szCs w:val="20"/>
        </w:rPr>
        <w:t xml:space="preserve">11.1  </w:t>
      </w:r>
      <w:r>
        <w:rPr>
          <w:rFonts w:ascii="Arial" w:cs="Arial" w:eastAsia="Arial" w:hAnsi="Arial"/>
          <w:color w:val="333333"/>
          <w:sz w:val="20"/>
          <w:szCs w:val="20"/>
        </w:rPr>
        <w:t xml:space="preserve">Provider shall maintain a documented business continuity and disaster recovery plan that addresses the continuity of services provided to Company.</w:t>
      </w:r>
    </w:p>
    <w:p>
      <w:pPr>
        <w:spacing w:after="80"/>
        <w:ind w:left="360"/>
      </w:pPr>
      <w:r>
        <w:rPr>
          <w:rFonts w:ascii="Arial" w:cs="Arial" w:eastAsia="Arial" w:hAnsi="Arial"/>
          <w:b/>
          <w:bCs/>
          <w:color w:val="2E75B6"/>
          <w:sz w:val="20"/>
          <w:szCs w:val="20"/>
        </w:rPr>
        <w:t xml:space="preserve">11.2  </w:t>
      </w:r>
      <w:r>
        <w:rPr>
          <w:rFonts w:ascii="Arial" w:cs="Arial" w:eastAsia="Arial" w:hAnsi="Arial"/>
          <w:color w:val="333333"/>
          <w:sz w:val="20"/>
          <w:szCs w:val="20"/>
        </w:rPr>
        <w:t xml:space="preserve">Provider shall maintain backup copies of Confidential Data with a recovery point objective (RPO) of no more than [24] hours and a recovery time objective (RTO) of no more than [48] hours.</w:t>
      </w:r>
    </w:p>
    <w:p>
      <w:pPr>
        <w:spacing w:after="80"/>
        <w:ind w:left="360"/>
      </w:pPr>
      <w:r>
        <w:rPr>
          <w:rFonts w:ascii="Arial" w:cs="Arial" w:eastAsia="Arial" w:hAnsi="Arial"/>
          <w:b/>
          <w:bCs/>
          <w:color w:val="2E75B6"/>
          <w:sz w:val="20"/>
          <w:szCs w:val="20"/>
        </w:rPr>
        <w:t xml:space="preserve">11.3  </w:t>
      </w:r>
      <w:r>
        <w:rPr>
          <w:rFonts w:ascii="Arial" w:cs="Arial" w:eastAsia="Arial" w:hAnsi="Arial"/>
          <w:color w:val="333333"/>
          <w:sz w:val="20"/>
          <w:szCs w:val="20"/>
        </w:rPr>
        <w:t xml:space="preserve">Provider shall test its disaster recovery plan at least annually and provide Company with a summary of test results upon request.</w:t>
      </w:r>
    </w:p>
    <w:p>
      <w:pPr>
        <w:spacing w:after="80"/>
        <w:ind w:left="360"/>
      </w:pPr>
      <w:r>
        <w:rPr>
          <w:rFonts w:ascii="Arial" w:cs="Arial" w:eastAsia="Arial" w:hAnsi="Arial"/>
          <w:b/>
          <w:bCs/>
          <w:color w:val="2E75B6"/>
          <w:sz w:val="20"/>
          <w:szCs w:val="20"/>
        </w:rPr>
        <w:t xml:space="preserve">11.4  </w:t>
      </w:r>
      <w:r>
        <w:rPr>
          <w:rFonts w:ascii="Arial" w:cs="Arial" w:eastAsia="Arial" w:hAnsi="Arial"/>
          <w:color w:val="333333"/>
          <w:sz w:val="20"/>
          <w:szCs w:val="20"/>
        </w:rPr>
        <w:t xml:space="preserve">Backups containing Confidential Data shall be encrypted, stored in a geographically separate location, and tested for integrity at least [quarterly].</w:t>
      </w:r>
    </w:p>
    <w:p>
      <w:r>
        <w:br w:type="page"/>
      </w:r>
    </w:p>
    <w:p>
      <w:pPr>
        <w:pStyle w:val="Heading2"/>
        <w:spacing w:before="260" w:after="80"/>
      </w:pPr>
      <w:r>
        <w:rPr>
          <w:rFonts w:ascii="Arial" w:cs="Arial" w:eastAsia="Arial" w:hAnsi="Arial"/>
          <w:b/>
          <w:bCs/>
          <w:color w:val="1B3A5C"/>
          <w:sz w:val="22"/>
          <w:szCs w:val="22"/>
        </w:rPr>
        <w:t xml:space="preserve">12. Representations and Warranties</w:t>
      </w:r>
    </w:p>
    <w:p>
      <w:pPr>
        <w:spacing w:after="80"/>
        <w:ind w:left="360"/>
      </w:pPr>
      <w:r>
        <w:rPr>
          <w:rFonts w:ascii="Arial" w:cs="Arial" w:eastAsia="Arial" w:hAnsi="Arial"/>
          <w:b/>
          <w:bCs/>
          <w:color w:val="2E75B6"/>
          <w:sz w:val="20"/>
          <w:szCs w:val="20"/>
        </w:rPr>
        <w:t xml:space="preserve">12.1  </w:t>
      </w:r>
      <w:r>
        <w:rPr>
          <w:rFonts w:ascii="Arial" w:cs="Arial" w:eastAsia="Arial" w:hAnsi="Arial"/>
          <w:color w:val="333333"/>
          <w:sz w:val="20"/>
          <w:szCs w:val="20"/>
        </w:rPr>
        <w:t xml:space="preserve">Provider represents and warrants that it has implemented and shall maintain throughout the term of the Master Agreement security controls that meet or exceed the Security Standards set forth in this Addendum.</w:t>
      </w:r>
    </w:p>
    <w:p>
      <w:pPr>
        <w:spacing w:after="80"/>
        <w:ind w:left="360"/>
      </w:pPr>
      <w:r>
        <w:rPr>
          <w:rFonts w:ascii="Arial" w:cs="Arial" w:eastAsia="Arial" w:hAnsi="Arial"/>
          <w:b/>
          <w:bCs/>
          <w:color w:val="2E75B6"/>
          <w:sz w:val="20"/>
          <w:szCs w:val="20"/>
        </w:rPr>
        <w:t xml:space="preserve">12.2  </w:t>
      </w:r>
      <w:r>
        <w:rPr>
          <w:rFonts w:ascii="Arial" w:cs="Arial" w:eastAsia="Arial" w:hAnsi="Arial"/>
          <w:color w:val="333333"/>
          <w:sz w:val="20"/>
          <w:szCs w:val="20"/>
        </w:rPr>
        <w:t xml:space="preserve">Provider represents and warrants that it has not experienced a material Security Incident involving the type of data or services covered by this Addendum within the past [3] years, or if it has, that it has disclosed the details to Company in writing prior to execution of this Addendum.</w:t>
      </w:r>
    </w:p>
    <w:p>
      <w:pPr>
        <w:spacing w:after="80"/>
        <w:ind w:left="360"/>
      </w:pPr>
      <w:r>
        <w:rPr>
          <w:rFonts w:ascii="Arial" w:cs="Arial" w:eastAsia="Arial" w:hAnsi="Arial"/>
          <w:b/>
          <w:bCs/>
          <w:color w:val="2E75B6"/>
          <w:sz w:val="20"/>
          <w:szCs w:val="20"/>
        </w:rPr>
        <w:t xml:space="preserve">12.3  </w:t>
      </w:r>
      <w:r>
        <w:rPr>
          <w:rFonts w:ascii="Arial" w:cs="Arial" w:eastAsia="Arial" w:hAnsi="Arial"/>
          <w:color w:val="333333"/>
          <w:sz w:val="20"/>
          <w:szCs w:val="20"/>
        </w:rPr>
        <w:t xml:space="preserve">Provider represents and warrants that its security practices comply with all applicable laws, regulations, and industry standards relevant to the services provided.</w:t>
      </w:r>
    </w:p>
    <w:p>
      <w:pPr>
        <w:spacing w:after="80"/>
        <w:ind w:left="360"/>
      </w:pPr>
      <w:r>
        <w:rPr>
          <w:rFonts w:ascii="Arial" w:cs="Arial" w:eastAsia="Arial" w:hAnsi="Arial"/>
          <w:b/>
          <w:bCs/>
          <w:color w:val="2E75B6"/>
          <w:sz w:val="20"/>
          <w:szCs w:val="20"/>
        </w:rPr>
        <w:t xml:space="preserve">12.4  </w:t>
      </w:r>
      <w:r>
        <w:rPr>
          <w:rFonts w:ascii="Arial" w:cs="Arial" w:eastAsia="Arial" w:hAnsi="Arial"/>
          <w:color w:val="333333"/>
          <w:sz w:val="20"/>
          <w:szCs w:val="20"/>
        </w:rPr>
        <w:t xml:space="preserve">Provider shall promptly notify Company in writing of any material changes to its security posture, certifications, insurance coverage, or compliance status that may affect its ability to comply with this Addendum.</w:t>
      </w:r>
    </w:p>
    <w:p>
      <w:pPr>
        <w:pStyle w:val="Heading2"/>
        <w:spacing w:before="260" w:after="80"/>
      </w:pPr>
      <w:r>
        <w:rPr>
          <w:rFonts w:ascii="Arial" w:cs="Arial" w:eastAsia="Arial" w:hAnsi="Arial"/>
          <w:b/>
          <w:bCs/>
          <w:color w:val="1B3A5C"/>
          <w:sz w:val="22"/>
          <w:szCs w:val="22"/>
        </w:rPr>
        <w:t xml:space="preserve">13. Term, Termination, and Remedies</w:t>
      </w:r>
    </w:p>
    <w:p>
      <w:pPr>
        <w:spacing w:after="80"/>
        <w:ind w:left="360"/>
      </w:pPr>
      <w:r>
        <w:rPr>
          <w:rFonts w:ascii="Arial" w:cs="Arial" w:eastAsia="Arial" w:hAnsi="Arial"/>
          <w:b/>
          <w:bCs/>
          <w:color w:val="2E75B6"/>
          <w:sz w:val="20"/>
          <w:szCs w:val="20"/>
        </w:rPr>
        <w:t xml:space="preserve">13.1  </w:t>
      </w:r>
      <w:r>
        <w:rPr>
          <w:rFonts w:ascii="Arial" w:cs="Arial" w:eastAsia="Arial" w:hAnsi="Arial"/>
          <w:color w:val="333333"/>
          <w:sz w:val="20"/>
          <w:szCs w:val="20"/>
        </w:rPr>
        <w:t xml:space="preserve">This Addendum shall be coterminous with the Master Agreement, unless earlier terminated in accordance with this Article.</w:t>
      </w:r>
    </w:p>
    <w:p>
      <w:pPr>
        <w:spacing w:after="80"/>
        <w:ind w:left="360"/>
      </w:pPr>
      <w:r>
        <w:rPr>
          <w:rFonts w:ascii="Arial" w:cs="Arial" w:eastAsia="Arial" w:hAnsi="Arial"/>
          <w:b/>
          <w:bCs/>
          <w:color w:val="2E75B6"/>
          <w:sz w:val="20"/>
          <w:szCs w:val="20"/>
        </w:rPr>
        <w:t xml:space="preserve">13.2  </w:t>
      </w:r>
      <w:r>
        <w:rPr>
          <w:rFonts w:ascii="Arial" w:cs="Arial" w:eastAsia="Arial" w:hAnsi="Arial"/>
          <w:color w:val="333333"/>
          <w:sz w:val="20"/>
          <w:szCs w:val="20"/>
        </w:rPr>
        <w:t xml:space="preserve">Company may terminate this Addendum and the related services under the Master Agreement immediately upon written notice if:</w:t>
      </w:r>
    </w:p>
    <w:p>
      <w:pPr>
        <w:spacing w:after="60"/>
        <w:ind w:left="720"/>
      </w:pPr>
      <w:r>
        <w:rPr>
          <w:rFonts w:ascii="Arial" w:cs="Arial" w:eastAsia="Arial" w:hAnsi="Arial"/>
          <w:color w:val="333333"/>
          <w:sz w:val="19"/>
          <w:szCs w:val="19"/>
        </w:rPr>
        <w:t xml:space="preserve">•  Provider experiences a Security Incident involving Company’s Confidential Data</w:t>
      </w:r>
    </w:p>
    <w:p>
      <w:pPr>
        <w:spacing w:after="60"/>
        <w:ind w:left="720"/>
      </w:pPr>
      <w:r>
        <w:rPr>
          <w:rFonts w:ascii="Arial" w:cs="Arial" w:eastAsia="Arial" w:hAnsi="Arial"/>
          <w:color w:val="333333"/>
          <w:sz w:val="19"/>
          <w:szCs w:val="19"/>
        </w:rPr>
        <w:t xml:space="preserve">•  Provider fails to remediate a material security deficiency within the cure period specified in Article 6.4</w:t>
      </w:r>
    </w:p>
    <w:p>
      <w:pPr>
        <w:spacing w:after="60"/>
        <w:ind w:left="720"/>
      </w:pPr>
      <w:r>
        <w:rPr>
          <w:rFonts w:ascii="Arial" w:cs="Arial" w:eastAsia="Arial" w:hAnsi="Arial"/>
          <w:color w:val="333333"/>
          <w:sz w:val="19"/>
          <w:szCs w:val="19"/>
        </w:rPr>
        <w:t xml:space="preserve">•  Provider’s cyber insurance coverage lapses, is canceled, or falls below the minimum requirements</w:t>
      </w:r>
    </w:p>
    <w:p>
      <w:pPr>
        <w:spacing w:after="60"/>
        <w:ind w:left="720"/>
      </w:pPr>
      <w:r>
        <w:rPr>
          <w:rFonts w:ascii="Arial" w:cs="Arial" w:eastAsia="Arial" w:hAnsi="Arial"/>
          <w:color w:val="333333"/>
          <w:sz w:val="19"/>
          <w:szCs w:val="19"/>
        </w:rPr>
        <w:t xml:space="preserve">•  Provider refuses to comply with a reasonable security assessment or audit request</w:t>
      </w:r>
    </w:p>
    <w:p>
      <w:pPr>
        <w:spacing w:after="80"/>
        <w:ind w:left="360"/>
      </w:pPr>
      <w:r>
        <w:rPr>
          <w:rFonts w:ascii="Arial" w:cs="Arial" w:eastAsia="Arial" w:hAnsi="Arial"/>
          <w:b/>
          <w:bCs/>
          <w:color w:val="2E75B6"/>
          <w:sz w:val="20"/>
          <w:szCs w:val="20"/>
        </w:rPr>
        <w:t xml:space="preserve">13.3  </w:t>
      </w:r>
      <w:r>
        <w:rPr>
          <w:rFonts w:ascii="Arial" w:cs="Arial" w:eastAsia="Arial" w:hAnsi="Arial"/>
          <w:color w:val="333333"/>
          <w:sz w:val="20"/>
          <w:szCs w:val="20"/>
        </w:rPr>
        <w:t xml:space="preserve">Upon termination for cause under this Article, Provider shall cooperate fully with transition activities and data return/destruction obligations at no additional cost to Company.</w:t>
      </w:r>
    </w:p>
    <w:p>
      <w:pPr>
        <w:spacing w:after="80"/>
        <w:ind w:left="360"/>
      </w:pPr>
      <w:r>
        <w:rPr>
          <w:rFonts w:ascii="Arial" w:cs="Arial" w:eastAsia="Arial" w:hAnsi="Arial"/>
          <w:b/>
          <w:bCs/>
          <w:color w:val="2E75B6"/>
          <w:sz w:val="20"/>
          <w:szCs w:val="20"/>
        </w:rPr>
        <w:t xml:space="preserve">13.4  </w:t>
      </w:r>
      <w:r>
        <w:rPr>
          <w:rFonts w:ascii="Arial" w:cs="Arial" w:eastAsia="Arial" w:hAnsi="Arial"/>
          <w:color w:val="333333"/>
          <w:sz w:val="20"/>
          <w:szCs w:val="20"/>
        </w:rPr>
        <w:t xml:space="preserve">The obligations of Provider under Articles 4 (Incident Response), 5 (Data Handling), 10 (Indemnification), and 12 (Representations) shall survive termination or expiration of this Addendum.</w:t>
      </w:r>
    </w:p>
    <w:p>
      <w:pPr>
        <w:pStyle w:val="Heading2"/>
        <w:spacing w:before="260" w:after="80"/>
      </w:pPr>
      <w:r>
        <w:rPr>
          <w:rFonts w:ascii="Arial" w:cs="Arial" w:eastAsia="Arial" w:hAnsi="Arial"/>
          <w:b/>
          <w:bCs/>
          <w:color w:val="1B3A5C"/>
          <w:sz w:val="22"/>
          <w:szCs w:val="22"/>
        </w:rPr>
        <w:t xml:space="preserve">14. General Provisions</w:t>
      </w:r>
    </w:p>
    <w:p>
      <w:pPr>
        <w:spacing w:after="80"/>
        <w:ind w:left="360"/>
      </w:pPr>
      <w:r>
        <w:rPr>
          <w:rFonts w:ascii="Arial" w:cs="Arial" w:eastAsia="Arial" w:hAnsi="Arial"/>
          <w:b/>
          <w:bCs/>
          <w:color w:val="2E75B6"/>
          <w:sz w:val="20"/>
          <w:szCs w:val="20"/>
        </w:rPr>
        <w:t xml:space="preserve">14.1  </w:t>
      </w:r>
      <w:r>
        <w:rPr>
          <w:rFonts w:ascii="Arial" w:cs="Arial" w:eastAsia="Arial" w:hAnsi="Arial"/>
          <w:color w:val="333333"/>
          <w:sz w:val="20"/>
          <w:szCs w:val="20"/>
        </w:rPr>
        <w:t xml:space="preserve">In the event of a conflict between this Addendum and the Master Agreement with respect to cybersecurity, data protection, or privacy matters, the terms of this Addendum shall control.</w:t>
      </w:r>
    </w:p>
    <w:p>
      <w:pPr>
        <w:spacing w:after="80"/>
        <w:ind w:left="360"/>
      </w:pPr>
      <w:r>
        <w:rPr>
          <w:rFonts w:ascii="Arial" w:cs="Arial" w:eastAsia="Arial" w:hAnsi="Arial"/>
          <w:b/>
          <w:bCs/>
          <w:color w:val="2E75B6"/>
          <w:sz w:val="20"/>
          <w:szCs w:val="20"/>
        </w:rPr>
        <w:t xml:space="preserve">14.2  </w:t>
      </w:r>
      <w:r>
        <w:rPr>
          <w:rFonts w:ascii="Arial" w:cs="Arial" w:eastAsia="Arial" w:hAnsi="Arial"/>
          <w:color w:val="333333"/>
          <w:sz w:val="20"/>
          <w:szCs w:val="20"/>
        </w:rPr>
        <w:t xml:space="preserve">This Addendum may be amended only by a written instrument signed by authorized representatives of both parties.</w:t>
      </w:r>
    </w:p>
    <w:p>
      <w:pPr>
        <w:spacing w:after="80"/>
        <w:ind w:left="360"/>
      </w:pPr>
      <w:r>
        <w:rPr>
          <w:rFonts w:ascii="Arial" w:cs="Arial" w:eastAsia="Arial" w:hAnsi="Arial"/>
          <w:b/>
          <w:bCs/>
          <w:color w:val="2E75B6"/>
          <w:sz w:val="20"/>
          <w:szCs w:val="20"/>
        </w:rPr>
        <w:t xml:space="preserve">14.3  </w:t>
      </w:r>
      <w:r>
        <w:rPr>
          <w:rFonts w:ascii="Arial" w:cs="Arial" w:eastAsia="Arial" w:hAnsi="Arial"/>
          <w:color w:val="333333"/>
          <w:sz w:val="20"/>
          <w:szCs w:val="20"/>
        </w:rPr>
        <w:t xml:space="preserve">Provider’s obligations under this Addendum are not assignable without Company’s prior written consent.</w:t>
      </w:r>
    </w:p>
    <w:p>
      <w:pPr>
        <w:spacing w:after="80"/>
        <w:ind w:left="360"/>
      </w:pPr>
      <w:r>
        <w:rPr>
          <w:rFonts w:ascii="Arial" w:cs="Arial" w:eastAsia="Arial" w:hAnsi="Arial"/>
          <w:b/>
          <w:bCs/>
          <w:color w:val="2E75B6"/>
          <w:sz w:val="20"/>
          <w:szCs w:val="20"/>
        </w:rPr>
        <w:t xml:space="preserve">14.4  </w:t>
      </w:r>
      <w:r>
        <w:rPr>
          <w:rFonts w:ascii="Arial" w:cs="Arial" w:eastAsia="Arial" w:hAnsi="Arial"/>
          <w:color w:val="333333"/>
          <w:sz w:val="20"/>
          <w:szCs w:val="20"/>
        </w:rPr>
        <w:t xml:space="preserve">If any provision of this Addendum is held to be invalid or unenforceable, the remaining provisions shall continue in full force and effect.</w:t>
      </w:r>
    </w:p>
    <w:p>
      <w:pPr>
        <w:spacing w:after="80"/>
        <w:ind w:left="360"/>
      </w:pPr>
      <w:r>
        <w:rPr>
          <w:rFonts w:ascii="Arial" w:cs="Arial" w:eastAsia="Arial" w:hAnsi="Arial"/>
          <w:b/>
          <w:bCs/>
          <w:color w:val="2E75B6"/>
          <w:sz w:val="20"/>
          <w:szCs w:val="20"/>
        </w:rPr>
        <w:t xml:space="preserve">14.5  </w:t>
      </w:r>
      <w:r>
        <w:rPr>
          <w:rFonts w:ascii="Arial" w:cs="Arial" w:eastAsia="Arial" w:hAnsi="Arial"/>
          <w:color w:val="333333"/>
          <w:sz w:val="20"/>
          <w:szCs w:val="20"/>
        </w:rPr>
        <w:t xml:space="preserve">This Addendum shall be governed by the laws of the State of [Washington], without regard to its conflict of laws provisions.</w:t>
      </w:r>
    </w:p>
    <w:p>
      <w:r>
        <w:br w:type="page"/>
      </w:r>
    </w:p>
    <w:p>
      <w:pPr>
        <w:pStyle w:val="Heading1"/>
        <w:spacing w:before="300" w:after="100"/>
      </w:pPr>
      <w:r>
        <w:rPr>
          <w:rFonts w:ascii="Arial" w:cs="Arial" w:eastAsia="Arial" w:hAnsi="Arial"/>
          <w:b/>
          <w:bCs/>
          <w:color w:val="1B3A5C"/>
          <w:sz w:val="26"/>
          <w:szCs w:val="26"/>
        </w:rPr>
        <w:t xml:space="preserve">Signatures</w:t>
      </w:r>
    </w:p>
    <w:p>
      <w:pPr>
        <w:spacing w:after="100"/>
      </w:pPr>
      <w:r>
        <w:rPr>
          <w:rFonts w:ascii="Arial" w:cs="Arial" w:eastAsia="Arial" w:hAnsi="Arial"/>
          <w:b w:val="false"/>
          <w:bCs w:val="false"/>
          <w:i w:val="false"/>
          <w:iCs w:val="false"/>
          <w:color w:val="333333"/>
          <w:sz w:val="20"/>
          <w:szCs w:val="20"/>
        </w:rPr>
        <w:t xml:space="preserve">IN WITNESS WHEREOF, the parties have executed this Cybersecurity Addendum as of the date first written above.</w:t>
      </w:r>
    </w:p>
    <w:p>
      <w:pPr>
        <w:spacing w:after="40"/>
      </w:pPr>
    </w:p>
    <w:p>
      <w:pPr>
        <w:pStyle w:val="Heading2"/>
        <w:spacing w:before="220" w:after="80"/>
      </w:pPr>
      <w:r>
        <w:rPr>
          <w:rFonts w:ascii="Arial" w:cs="Arial" w:eastAsia="Arial" w:hAnsi="Arial"/>
          <w:b/>
          <w:bCs/>
          <w:color w:val="2E75B6"/>
          <w:sz w:val="22"/>
          <w:szCs w:val="22"/>
        </w:rPr>
        <w:t xml:space="preserve">Company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2680"/>
        <w:gridCol w:w="2000"/>
        <w:gridCol w:w="2680"/>
      </w:tblGrid>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Organization:</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[Your Organization Name]</w:t>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Name: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Title: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Signature: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Date: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Email:</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Phone: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60"/>
      </w:pPr>
    </w:p>
    <w:p>
      <w:pPr>
        <w:pStyle w:val="Heading2"/>
        <w:spacing w:before="220" w:after="80"/>
      </w:pPr>
      <w:r>
        <w:rPr>
          <w:rFonts w:ascii="Arial" w:cs="Arial" w:eastAsia="Arial" w:hAnsi="Arial"/>
          <w:b/>
          <w:bCs/>
          <w:color w:val="2E75B6"/>
          <w:sz w:val="22"/>
          <w:szCs w:val="22"/>
        </w:rPr>
        <w:t xml:space="preserve">Provider (Vendor)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2680"/>
        <w:gridCol w:w="2000"/>
        <w:gridCol w:w="2680"/>
      </w:tblGrid>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Organization:</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Name: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Title: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Signature: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b/>
                <w:bCs/>
                <w:color w:val="333333"/>
                <w:sz w:val="19"/>
                <w:szCs w:val="19"/>
              </w:rPr>
              <w:t xml:space="preserve">Date:</w:t>
            </w:r>
          </w:p>
        </w:tc>
        <w:tc>
          <w:tcPr>
            <w:tcW w:type="dxa" w:w="2680"/>
            <w:gridSpan w:val="1"/>
            <w:tcBorders>
              <w:top w:val="single" w:color="CCCCCC" w:sz="1"/>
              <w:left w:val="single" w:color="CCCCCC" w:sz="1"/>
              <w:bottom w:val="single" w:color="CCCCCC" w:sz="1"/>
              <w:right w:val="single" w:color="CCCCCC" w:sz="1"/>
            </w:tcBorders>
            <w:shd w:fill="EBF1F8" w:val="clear"/>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r>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Email:</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c>
          <w:tcPr>
            <w:tcW w:type="dxa" w:w="2000"/>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b/>
                <w:bCs/>
                <w:color w:val="333333"/>
                <w:sz w:val="19"/>
                <w:szCs w:val="19"/>
              </w:rPr>
              <w:t xml:space="preserve">Phone:</w:t>
            </w:r>
          </w:p>
        </w:tc>
        <w:tc>
          <w:tcPr>
            <w:tcW w:type="dxa" w:w="2680"/>
            <w:gridSpan w:val="1"/>
            <w:tcBorders>
              <w:top w:val="single" w:color="CCCCCC" w:sz="1"/>
              <w:left w:val="single" w:color="CCCCCC" w:sz="1"/>
              <w:bottom w:val="single" w:color="CCCCCC" w:sz="1"/>
              <w:right w:val="single" w:color="CCCCCC" w:sz="1"/>
            </w:tcBorders>
            <w:tcMar>
              <w:top w:type="dxa" w:w="60"/>
              <w:left w:type="dxa" w:w="100"/>
              <w:bottom w:type="dxa" w:w="60"/>
              <w:right w:type="dxa" w:w="100"/>
            </w:tcMar>
          </w:tcPr>
          <w:p>
            <w:r>
              <w:rPr>
                <w:rFonts w:ascii="Arial" w:cs="Arial" w:eastAsia="Arial" w:hAnsi="Arial"/>
                <w:i w:val="false"/>
                <w:iCs w:val="false"/>
                <w:color w:val="666666"/>
                <w:sz w:val="19"/>
                <w:szCs w:val="19"/>
              </w:rPr>
              <w:t xml:space="preserve"/>
            </w:r>
          </w:p>
        </w:tc>
      </w:tr>
    </w:tbl>
    <w:p>
      <w:pPr>
        <w:spacing w:after="6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2E75B6" w:sz="3"/>
              <w:left w:val="single" w:color="2E75B6" w:sz="3"/>
              <w:bottom w:val="single" w:color="2E75B6" w:sz="3"/>
              <w:right w:val="single" w:color="2E75B6" w:sz="3"/>
            </w:tcBorders>
            <w:shd w:fill="EBF1F8" w:val="clear"/>
            <w:tcMar>
              <w:top w:type="dxa" w:w="120"/>
              <w:left w:type="dxa" w:w="160"/>
              <w:bottom w:type="dxa" w:w="120"/>
              <w:right w:type="dxa" w:w="160"/>
            </w:tcMar>
          </w:tcPr>
          <w:p>
            <w:pPr>
              <w:spacing w:after="40"/>
            </w:pPr>
            <w:r>
              <w:rPr>
                <w:rFonts w:ascii="Arial" w:cs="Arial" w:eastAsia="Arial" w:hAnsi="Arial"/>
                <w:b/>
                <w:bCs/>
                <w:color w:val="1B3A5C"/>
                <w:sz w:val="19"/>
                <w:szCs w:val="19"/>
              </w:rPr>
              <w:t xml:space="preserve">ATTACHMENT CHECKLIST:</w:t>
            </w:r>
          </w:p>
          <w:p>
            <w:pPr>
              <w:spacing w:after="40"/>
            </w:pPr>
            <w:r>
              <w:rPr>
                <w:rFonts w:ascii="Arial" w:cs="Arial" w:eastAsia="Arial" w:hAnsi="Arial"/>
                <w:color w:val="333333"/>
                <w:sz w:val="18"/>
                <w:szCs w:val="18"/>
              </w:rPr>
              <w:t xml:space="preserve">[ ]  Completed Vendor Security Questionnaire</w:t>
            </w:r>
          </w:p>
          <w:p>
            <w:pPr>
              <w:spacing w:after="40"/>
            </w:pPr>
            <w:r>
              <w:rPr>
                <w:rFonts w:ascii="Arial" w:cs="Arial" w:eastAsia="Arial" w:hAnsi="Arial"/>
                <w:color w:val="333333"/>
                <w:sz w:val="18"/>
                <w:szCs w:val="18"/>
              </w:rPr>
              <w:t xml:space="preserve">[ ]  Certificate of Cyber Liability Insurance</w:t>
            </w:r>
          </w:p>
          <w:p>
            <w:pPr>
              <w:spacing w:after="40"/>
            </w:pPr>
            <w:r>
              <w:rPr>
                <w:rFonts w:ascii="Arial" w:cs="Arial" w:eastAsia="Arial" w:hAnsi="Arial"/>
                <w:color w:val="333333"/>
                <w:sz w:val="18"/>
                <w:szCs w:val="18"/>
              </w:rPr>
              <w:t xml:space="preserve">[ ]  SOC 2 Type II Report or equivalent certification (if available)</w:t>
            </w:r>
          </w:p>
          <w:p>
            <w:pPr>
              <w:spacing w:after="40"/>
            </w:pPr>
            <w:r>
              <w:rPr>
                <w:rFonts w:ascii="Arial" w:cs="Arial" w:eastAsia="Arial" w:hAnsi="Arial"/>
                <w:color w:val="333333"/>
                <w:sz w:val="18"/>
                <w:szCs w:val="18"/>
              </w:rPr>
              <w:t xml:space="preserve">[ ]  List of approved Subprocessors (if applicable)</w:t>
            </w:r>
          </w:p>
          <w:p>
            <w:pPr>
              <w:spacing w:after="40"/>
            </w:pPr>
            <w:r>
              <w:rPr>
                <w:rFonts w:ascii="Arial" w:cs="Arial" w:eastAsia="Arial" w:hAnsi="Arial"/>
                <w:color w:val="333333"/>
                <w:sz w:val="18"/>
                <w:szCs w:val="18"/>
              </w:rPr>
              <w:t xml:space="preserve">[ ]  Data flow diagram showing how Company data is processed and stored</w:t>
            </w:r>
          </w:p>
        </w:tc>
      </w:tr>
    </w:tbl>
    <w:p>
      <w:pPr>
        <w:spacing w:after="80"/>
      </w:pPr>
    </w:p>
    <w:p>
      <w:pPr>
        <w:spacing w:after="60"/>
      </w:pPr>
      <w:r>
        <w:rPr>
          <w:rFonts w:ascii="Arial" w:cs="Arial" w:eastAsia="Arial" w:hAnsi="Arial"/>
          <w:b/>
          <w:bCs/>
          <w:color w:val="1B3A5C"/>
          <w:sz w:val="18"/>
          <w:szCs w:val="18"/>
        </w:rPr>
        <w:t xml:space="preserve">Disclaimer</w:t>
      </w:r>
    </w:p>
    <w:p>
      <w:pPr>
        <w:spacing w:after="60"/>
      </w:pPr>
      <w:r>
        <w:rPr>
          <w:rFonts w:ascii="Arial" w:cs="Arial" w:eastAsia="Arial" w:hAnsi="Arial"/>
          <w:color w:val="666666"/>
          <w:sz w:val="15"/>
          <w:szCs w:val="15"/>
        </w:rPr>
        <w:t xml:space="preserve">This Security Addendum Template is provided by First Underwriters Insurance Brokers as a complimentary resource for informational and risk management purposes only. It does not constitute legal advice. Every organization’s regulatory environment, contractual requirements, and risk profile are unique. This template must be reviewed, customized, and approved by qualified legal counsel before use. First Underwriters makes no representations or warranties regarding the enforceability, completeness, or suitability of this template for any particular purpose. Completion does not guarantee insurance coverage or claim approval.</w:t>
      </w:r>
    </w:p>
    <w:p>
      <w:pPr>
        <w:spacing w:after="20"/>
      </w:pPr>
    </w:p>
    <w:p>
      <w:pPr>
        <w:spacing w:after="40"/>
        <w:jc w:val="center"/>
      </w:pPr>
      <w:r>
        <w:rPr>
          <w:rFonts w:ascii="Arial" w:cs="Arial" w:eastAsia="Arial" w:hAnsi="Arial"/>
          <w:b/>
          <w:bCs/>
          <w:color w:val="1B3A5C"/>
          <w:sz w:val="20"/>
          <w:szCs w:val="20"/>
        </w:rPr>
        <w:t xml:space="preserve">Courtesy of First Underwriters Insurance Brokers</w:t>
      </w:r>
    </w:p>
    <w:p>
      <w:pPr>
        <w:jc w:val="center"/>
      </w:pPr>
      <w:r>
        <w:rPr>
          <w:rFonts w:ascii="Arial" w:cs="Arial" w:eastAsia="Arial" w:hAnsi="Arial"/>
          <w:color w:val="666666"/>
          <w:sz w:val="16"/>
          <w:szCs w:val="16"/>
        </w:rPr>
        <w:t xml:space="preserve">4055 Lake Washington Blvd NE, Suite 100, Kirkland, WA 98033  |  (425) 242-5357  |  firstunderwriters.com</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CCCCC" w:sz="1"/>
      </w:pBdr>
      <w:spacing w:before="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500"/>
      <w:gridCol w:w="3860"/>
    </w:tblGrid>
    <w:tr>
      <w:tc>
        <w:tcPr>
          <w:tcW w:type="dxa" w:w="5500"/>
          <w:tcBorders>
            <w:top w:val="none" w:sz="0"/>
            <w:left w:val="none" w:sz="0"/>
            <w:bottom w:val="none" w:sz="0"/>
            <w:right w:val="none" w:sz="0"/>
          </w:tcBorders>
        </w:tcPr>
        <w:p>
          <w:r>
            <w:rPr>
              <w:rFonts w:ascii="Arial" w:cs="Arial" w:eastAsia="Arial" w:hAnsi="Arial"/>
              <w:color w:val="666666"/>
              <w:sz w:val="14"/>
              <w:szCs w:val="14"/>
            </w:rPr>
            <w:t xml:space="preserve">© First Underwriters Insurance Brokers  |  (425) 242-5357  |  firstunderwriters.com</w:t>
          </w:r>
        </w:p>
      </w:tc>
      <w:tc>
        <w:tcPr>
          <w:tcW w:type="dxa" w:w="3860"/>
          <w:tcBorders>
            <w:top w:val="none" w:sz="0"/>
            <w:left w:val="none" w:sz="0"/>
            <w:bottom w:val="none" w:sz="0"/>
            <w:right w:val="none" w:sz="0"/>
          </w:tcBorders>
        </w:tcPr>
        <w:p>
          <w:pPr>
            <w:jc w:val="right"/>
          </w:pPr>
          <w:r>
            <w:rPr>
              <w:rFonts w:ascii="Arial" w:cs="Arial" w:eastAsia="Arial" w:hAnsi="Arial"/>
              <w:color w:val="666666"/>
              <w:sz w:val="14"/>
              <w:szCs w:val="14"/>
            </w:rPr>
            <w:t xml:space="preserve">Page </w:t>
          </w:r>
          <w:r>
            <w:rPr>
              <w:rFonts w:ascii="Arial" w:cs="Arial" w:eastAsia="Arial" w:hAnsi="Arial"/>
              <w:color w:val="666666"/>
              <w:sz w:val="14"/>
              <w:szCs w:val="14"/>
            </w:rPr>
            <w:fldChar w:fldCharType="begin"/>
            <w:instrText xml:space="preserve">PAGE</w:instrText>
            <w:fldChar w:fldCharType="separate"/>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500"/>
      <w:gridCol w:w="3860"/>
    </w:tblGrid>
    <w:tr>
      <w:tc>
        <w:tcPr>
          <w:tcW w:type="dxa" w:w="5500"/>
          <w:tcBorders>
            <w:top w:val="none" w:sz="0"/>
            <w:left w:val="none" w:sz="0"/>
            <w:bottom w:val="none" w:sz="0"/>
            <w:right w:val="none" w:sz="0"/>
          </w:tcBorders>
        </w:tcPr>
        <w:p>
          <w:r>
            <w:rPr>
              <w:rFonts w:ascii="Arial" w:cs="Arial" w:eastAsia="Arial" w:hAnsi="Arial"/>
              <w:b/>
              <w:bCs/>
              <w:color w:val="1B3A5C"/>
              <w:sz w:val="18"/>
              <w:szCs w:val="18"/>
            </w:rPr>
            <w:t xml:space="preserve">First Underwriters Insurance Brokers</w:t>
          </w:r>
        </w:p>
      </w:tc>
      <w:tc>
        <w:tcPr>
          <w:tcW w:type="dxa" w:w="3860"/>
          <w:tcBorders>
            <w:top w:val="none" w:sz="0"/>
            <w:left w:val="none" w:sz="0"/>
            <w:bottom w:val="none" w:sz="0"/>
            <w:right w:val="none" w:sz="0"/>
          </w:tcBorders>
        </w:tcPr>
        <w:p>
          <w:pPr>
            <w:jc w:val="right"/>
          </w:pPr>
          <w:r>
            <w:rPr>
              <w:rFonts w:ascii="Arial" w:cs="Arial" w:eastAsia="Arial" w:hAnsi="Arial"/>
              <w:color w:val="2E75B6"/>
              <w:sz w:val="16"/>
              <w:szCs w:val="16"/>
            </w:rPr>
            <w:t xml:space="preserve">Security Addendum Template</w:t>
          </w:r>
        </w:p>
      </w:tc>
    </w:tr>
  </w:tbl>
  <w:p>
    <w:pPr>
      <w:pBdr>
        <w:bottom w:val="single" w:color="2E75B6" w:sz="2"/>
      </w:pBd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333333"/>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300" w:after="100"/>
      <w:outlineLvl w:val="0"/>
    </w:pPr>
    <w:rPr>
      <w:rFonts w:ascii="Arial" w:cs="Arial" w:eastAsia="Arial" w:hAnsi="Arial"/>
      <w:b/>
      <w:bCs/>
      <w:color w:val="1B3A5C"/>
      <w:sz w:val="26"/>
      <w:szCs w:val="26"/>
    </w:rPr>
  </w:style>
  <w:style w:type="paragraph" w:styleId="Heading2">
    <w:name w:val="Heading 2"/>
    <w:basedOn w:val="Normal"/>
    <w:next w:val="Normal"/>
    <w:qFormat/>
    <w:pPr>
      <w:spacing w:before="220" w:after="80"/>
      <w:outlineLvl w:val="1"/>
    </w:pPr>
    <w:rPr>
      <w:rFonts w:ascii="Arial" w:cs="Arial" w:eastAsia="Arial" w:hAnsi="Arial"/>
      <w:b/>
      <w:bCs/>
      <w:color w:val="2E75B6"/>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2026-02-06T17:09:05.223Z</dcterms:created>
  <dcterms:modified xsi:type="dcterms:W3CDTF">2026-02-06T17:09:05.224Z</dcterms:modified>
</cp:coreProperties>
</file>

<file path=docProps/custom.xml><?xml version="1.0" encoding="utf-8"?>
<Properties xmlns="http://schemas.openxmlformats.org/officeDocument/2006/custom-properties" xmlns:vt="http://schemas.openxmlformats.org/officeDocument/2006/docPropsVTypes"/>
</file>