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before="600" w:after="0"/>
      </w:pPr>
    </w:p>
    <w:p>
      <w:pPr>
        <w:spacing w:after="200"/>
      </w:pPr>
      <w:r>
        <w:rPr>
          <w:rFonts w:ascii="Arial" w:cs="Arial" w:eastAsia="Arial" w:hAnsi="Arial"/>
          <w:b/>
          <w:bCs/>
          <w:color w:val="C5972C"/>
          <w:sz w:val="20"/>
          <w:szCs w:val="20"/>
        </w:rPr>
        <w:t xml:space="preserve">WORKERS’ COMPENSATION</w:t>
      </w:r>
    </w:p>
    <w:p>
      <w:pPr>
        <w:pBdr>
          <w:bottom w:val="single" w:color="C5972C" w:sz="6" w:space="1"/>
        </w:pBdr>
        <w:spacing w:before="80" w:after="80"/>
      </w:pPr>
    </w:p>
    <w:p>
      <w:pPr>
        <w:spacing w:before="200" w:after="0"/>
      </w:pPr>
    </w:p>
    <w:p>
      <w:pPr>
        <w:spacing w:after="80"/>
      </w:pPr>
      <w:r>
        <w:rPr>
          <w:rFonts w:ascii="Arial" w:cs="Arial" w:eastAsia="Arial" w:hAnsi="Arial"/>
          <w:b/>
          <w:bCs/>
          <w:color w:val="1B2A4A"/>
          <w:sz w:val="56"/>
          <w:szCs w:val="56"/>
        </w:rPr>
        <w:t xml:space="preserve">Claims Management</w:t>
      </w:r>
    </w:p>
    <w:p>
      <w:pPr>
        <w:spacing w:after="160"/>
      </w:pPr>
      <w:r>
        <w:rPr>
          <w:rFonts w:ascii="Arial" w:cs="Arial" w:eastAsia="Arial" w:hAnsi="Arial"/>
          <w:b/>
          <w:bCs/>
          <w:color w:val="1B2A4A"/>
          <w:sz w:val="56"/>
          <w:szCs w:val="56"/>
        </w:rPr>
        <w:t xml:space="preserve">Guide</w:t>
      </w:r>
    </w:p>
    <w:p>
      <w:pPr>
        <w:spacing w:after="400"/>
      </w:pPr>
      <w:r>
        <w:rPr>
          <w:rFonts w:ascii="Arial" w:cs="Arial" w:eastAsia="Arial" w:hAnsi="Arial"/>
          <w:color w:val="C5972C"/>
          <w:sz w:val="24"/>
          <w:szCs w:val="24"/>
        </w:rPr>
        <w:t xml:space="preserve">Strategies to Reduce Claim Costs, Improve Outcomes,
and Lower Your Experience Modification Rate</w:t>
      </w:r>
    </w:p>
    <w:p>
      <w:pPr>
        <w:pBdr>
          <w:bottom w:val="single" w:color="C5972C" w:sz="6" w:space="1"/>
        </w:pBdr>
        <w:spacing w:before="80" w:after="80"/>
      </w:pPr>
    </w:p>
    <w:p>
      <w:pPr>
        <w:spacing w:before="200" w:after="0"/>
      </w:pPr>
    </w:p>
    <w:p>
      <w:pPr>
        <w:spacing w:after="160"/>
      </w:pPr>
      <w:r>
        <w:rPr>
          <w:rFonts w:ascii="Arial" w:cs="Arial" w:eastAsia="Arial" w:hAnsi="Arial"/>
          <w:b w:val="false"/>
          <w:bCs w:val="false"/>
          <w:i w:val="false"/>
          <w:iCs w:val="false"/>
          <w:color w:val="333333"/>
          <w:sz w:val="22"/>
          <w:szCs w:val="22"/>
        </w:rPr>
        <w:t xml:space="preserve">This guide provides a comprehensive framework for managing workers’ compensation claims from the moment of injury through resolution. Effective claims management directly reduces costs, improves injured worker outcomes, and lowers your Experience Modification Rate (EMR) over time.</w:t>
      </w:r>
    </w:p>
    <w:p>
      <w:pPr>
        <w:spacing w:before="100" w:after="0"/>
      </w:pPr>
    </w:p>
    <w:p>
      <w:pPr>
        <w:spacing w:after="160"/>
      </w:pPr>
      <w:r>
        <w:rPr>
          <w:rFonts w:ascii="Arial" w:cs="Arial" w:eastAsia="Arial" w:hAnsi="Arial"/>
          <w:b/>
          <w:bCs/>
          <w:i w:val="false"/>
          <w:iCs w:val="false"/>
          <w:color w:val="1B2A4A"/>
          <w:sz w:val="22"/>
          <w:szCs w:val="22"/>
        </w:rPr>
        <w:t xml:space="preserve">Inside this guide: </w:t>
      </w:r>
      <w:r>
        <w:rPr>
          <w:rFonts w:ascii="Arial" w:cs="Arial" w:eastAsia="Arial" w:hAnsi="Arial"/>
          <w:b w:val="false"/>
          <w:bCs w:val="false"/>
          <w:i w:val="false"/>
          <w:iCs w:val="false"/>
          <w:color w:val="333333"/>
          <w:sz w:val="22"/>
          <w:szCs w:val="22"/>
        </w:rPr>
        <w:t xml:space="preserve">First Response Protocols, Investigation &amp; Documentation, Return-to-Work Programs, Medical Management, Reserve Monitoring, Fraud Awareness, and Claims Review Best Practices.</w:t>
      </w:r>
    </w:p>
    <w:p>
      <w:pPr>
        <w:spacing w:before="600" w:after="0"/>
      </w:pPr>
    </w:p>
    <w:p>
      <w:pPr>
        <w:pBdr>
          <w:bottom w:val="single" w:color="C5972C" w:sz="6" w:space="1"/>
        </w:pBdr>
        <w:spacing w:before="80" w:after="80"/>
      </w:pPr>
    </w:p>
    <w:p>
      <w:pPr>
        <w:spacing w:after="40"/>
      </w:pPr>
      <w:r>
        <w:rPr>
          <w:rFonts w:ascii="Arial" w:cs="Arial" w:eastAsia="Arial" w:hAnsi="Arial"/>
          <w:b/>
          <w:bCs/>
          <w:color w:val="1B2A4A"/>
          <w:sz w:val="20"/>
          <w:szCs w:val="20"/>
        </w:rPr>
        <w:t xml:space="preserve">First Underwriters Insurance Brokers</w:t>
      </w:r>
    </w:p>
    <w:p>
      <w:pPr>
        <w:spacing w:after="40"/>
      </w:pPr>
      <w:r>
        <w:rPr>
          <w:rFonts w:ascii="Arial" w:cs="Arial" w:eastAsia="Arial" w:hAnsi="Arial"/>
          <w:color w:val="444444"/>
          <w:sz w:val="18"/>
          <w:szCs w:val="18"/>
        </w:rPr>
        <w:t xml:space="preserve">4055 Lake Washington Blvd NE, Suite 100, Kirkland, WA 98033</w:t>
      </w:r>
    </w:p>
    <w:p>
      <w:r>
        <w:rPr>
          <w:rFonts w:ascii="Arial" w:cs="Arial" w:eastAsia="Arial" w:hAnsi="Arial"/>
          <w:color w:val="444444"/>
          <w:sz w:val="18"/>
          <w:szCs w:val="18"/>
        </w:rPr>
        <w:t xml:space="preserve">(425) 242-5357  |  info@firstunderwriters.com  |  www.firstunderwriters.com</w:t>
      </w:r>
    </w:p>
    <w:p>
      <w:pPr>
        <w:sectPr>
          <w:pgSz w:w="12240" w:h="15840" w:orient="portrait"/>
          <w:pgMar w:top="1440" w:right="1440" w:bottom="1440" w:left="1440" w:header="708" w:footer="708" w:gutter="0"/>
          <w:pgNumType/>
          <w:docGrid w:linePitch="360"/>
        </w:sectPr>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1</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First Response: The Critical First 24 Hours</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The actions taken immediately after a workplace injury set the trajectory for the entire claim. Prompt, compassionate response reduces claim costs by 20–40% compared to delayed reporting. Every hour of delay increases average claim costs and complicates the recovery process.</w:t>
      </w:r>
    </w:p>
    <w:p>
      <w:pPr>
        <w:pStyle w:val="Heading3"/>
      </w:pPr>
      <w:r>
        <w:rPr>
          <w:b/>
          <w:bCs/>
        </w:rPr>
        <w:t xml:space="preserve">Immediate Response Checklist</w:t>
      </w:r>
    </w:p>
    <w:p>
      <w:pPr>
        <w:pStyle w:val="ListParagraph"/>
        <w:numPr>
          <w:ilvl w:val="0"/>
          <w:numId w:val="2"/>
        </w:numPr>
        <w:spacing w:after="80"/>
      </w:pPr>
      <w:r>
        <w:rPr>
          <w:rFonts w:ascii="Arial" w:cs="Arial" w:eastAsia="Arial" w:hAnsi="Arial"/>
          <w:color w:val="333333"/>
          <w:sz w:val="21"/>
          <w:szCs w:val="21"/>
        </w:rPr>
        <w:t xml:space="preserve">Ensure the injured worker receives appropriate medical attention immediately</w:t>
      </w:r>
    </w:p>
    <w:p>
      <w:pPr>
        <w:pStyle w:val="ListParagraph"/>
        <w:numPr>
          <w:ilvl w:val="0"/>
          <w:numId w:val="2"/>
        </w:numPr>
        <w:spacing w:after="80"/>
      </w:pPr>
      <w:r>
        <w:rPr>
          <w:rFonts w:ascii="Arial" w:cs="Arial" w:eastAsia="Arial" w:hAnsi="Arial"/>
          <w:color w:val="333333"/>
          <w:sz w:val="21"/>
          <w:szCs w:val="21"/>
        </w:rPr>
        <w:t xml:space="preserve">Secure the scene and preserve any evidence related to the incident</w:t>
      </w:r>
    </w:p>
    <w:p>
      <w:pPr>
        <w:pStyle w:val="ListParagraph"/>
        <w:numPr>
          <w:ilvl w:val="0"/>
          <w:numId w:val="2"/>
        </w:numPr>
        <w:spacing w:after="80"/>
      </w:pPr>
      <w:r>
        <w:rPr>
          <w:rFonts w:ascii="Arial" w:cs="Arial" w:eastAsia="Arial" w:hAnsi="Arial"/>
          <w:color w:val="333333"/>
          <w:sz w:val="21"/>
          <w:szCs w:val="21"/>
        </w:rPr>
        <w:t xml:space="preserve">Notify your supervisor chain and document initial details within the first hour</w:t>
      </w:r>
    </w:p>
    <w:p>
      <w:pPr>
        <w:pStyle w:val="ListParagraph"/>
        <w:numPr>
          <w:ilvl w:val="0"/>
          <w:numId w:val="2"/>
        </w:numPr>
        <w:spacing w:after="80"/>
      </w:pPr>
      <w:r>
        <w:rPr>
          <w:rFonts w:ascii="Arial" w:cs="Arial" w:eastAsia="Arial" w:hAnsi="Arial"/>
          <w:color w:val="333333"/>
          <w:sz w:val="21"/>
          <w:szCs w:val="21"/>
        </w:rPr>
        <w:t xml:space="preserve">Report the injury to your insurance carrier the same day — do not wait</w:t>
      </w:r>
    </w:p>
    <w:p>
      <w:pPr>
        <w:pStyle w:val="ListParagraph"/>
        <w:numPr>
          <w:ilvl w:val="0"/>
          <w:numId w:val="2"/>
        </w:numPr>
        <w:spacing w:after="80"/>
      </w:pPr>
      <w:r>
        <w:rPr>
          <w:rFonts w:ascii="Arial" w:cs="Arial" w:eastAsia="Arial" w:hAnsi="Arial"/>
          <w:color w:val="333333"/>
          <w:sz w:val="21"/>
          <w:szCs w:val="21"/>
        </w:rPr>
        <w:t xml:space="preserve">Complete a First Report of Injury form with accurate, detailed information</w:t>
      </w:r>
    </w:p>
    <w:p>
      <w:pPr>
        <w:pStyle w:val="ListParagraph"/>
        <w:numPr>
          <w:ilvl w:val="0"/>
          <w:numId w:val="2"/>
        </w:numPr>
        <w:spacing w:after="80"/>
      </w:pPr>
      <w:r>
        <w:rPr>
          <w:rFonts w:ascii="Arial" w:cs="Arial" w:eastAsia="Arial" w:hAnsi="Arial"/>
          <w:color w:val="333333"/>
          <w:sz w:val="21"/>
          <w:szCs w:val="21"/>
        </w:rPr>
        <w:t xml:space="preserve">Assign a single point of contact for the injured worker throughout the claim</w:t>
      </w:r>
    </w:p>
    <w:p>
      <w:pPr>
        <w:pStyle w:val="ListParagraph"/>
        <w:numPr>
          <w:ilvl w:val="0"/>
          <w:numId w:val="2"/>
        </w:numPr>
        <w:spacing w:after="80"/>
      </w:pPr>
      <w:r>
        <w:rPr>
          <w:rFonts w:ascii="Arial" w:cs="Arial" w:eastAsia="Arial" w:hAnsi="Arial"/>
          <w:color w:val="333333"/>
          <w:sz w:val="21"/>
          <w:szCs w:val="21"/>
        </w:rPr>
        <w:t xml:space="preserve">Express genuine concern for the worker’s wellbeing — empathy reduces litigation</w:t>
      </w:r>
    </w:p>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Key Insight: </w:t>
            </w:r>
            <w:r>
              <w:rPr>
                <w:rFonts w:ascii="Arial" w:cs="Arial" w:eastAsia="Arial" w:hAnsi="Arial"/>
                <w:color w:val="333333"/>
                <w:sz w:val="20"/>
                <w:szCs w:val="20"/>
              </w:rPr>
              <w:t xml:space="preserve">Claims reported within 24 hours cost significantly less than those reported after 7 or more days. Delayed reporting allows injuries to worsen, medical costs to escalate, and creates an adversarial dynamic with the injured worker. Same-day reporting is the single most impactful claims management practice.</w:t>
            </w:r>
          </w:p>
        </w:tc>
      </w:tr>
    </w:tbl>
    <w:p>
      <w:pPr>
        <w:spacing w:before="12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200"/>
        <w:gridCol w:w="2080"/>
        <w:gridCol w:w="4080"/>
      </w:tblGrid>
      <w:tr>
        <w:tc>
          <w:tcPr>
            <w:tcW w:type="dxa" w:w="3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Action</w:t>
            </w:r>
          </w:p>
        </w:tc>
        <w:tc>
          <w:tcPr>
            <w:tcW w:type="dxa" w:w="208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Timing</w:t>
            </w:r>
          </w:p>
        </w:tc>
        <w:tc>
          <w:tcPr>
            <w:tcW w:type="dxa" w:w="408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Responsible Party</w:t>
            </w:r>
          </w:p>
        </w:tc>
      </w:tr>
      <w:tr>
        <w:tc>
          <w:tcPr>
            <w:tcW w:type="dxa" w:w="3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Provide medical attention</w:t>
            </w:r>
          </w:p>
        </w:tc>
        <w:tc>
          <w:tcPr>
            <w:tcW w:type="dxa" w:w="2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Immediately</w:t>
            </w:r>
          </w:p>
        </w:tc>
        <w:tc>
          <w:tcPr>
            <w:tcW w:type="dxa" w:w="4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Supervisor / First Responder</w:t>
            </w:r>
          </w:p>
        </w:tc>
      </w:tr>
      <w:tr>
        <w:tc>
          <w:tcPr>
            <w:tcW w:type="dxa" w:w="3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Secure incident scene</w:t>
            </w:r>
          </w:p>
        </w:tc>
        <w:tc>
          <w:tcPr>
            <w:tcW w:type="dxa" w:w="2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Immediately</w:t>
            </w:r>
          </w:p>
        </w:tc>
        <w:tc>
          <w:tcPr>
            <w:tcW w:type="dxa" w:w="4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Supervisor</w:t>
            </w:r>
          </w:p>
        </w:tc>
      </w:tr>
      <w:tr>
        <w:tc>
          <w:tcPr>
            <w:tcW w:type="dxa" w:w="3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Notify carrier</w:t>
            </w:r>
          </w:p>
        </w:tc>
        <w:tc>
          <w:tcPr>
            <w:tcW w:type="dxa" w:w="2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Same day</w:t>
            </w:r>
          </w:p>
        </w:tc>
        <w:tc>
          <w:tcPr>
            <w:tcW w:type="dxa" w:w="4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HR / Risk Manager</w:t>
            </w:r>
          </w:p>
        </w:tc>
      </w:tr>
      <w:tr>
        <w:tc>
          <w:tcPr>
            <w:tcW w:type="dxa" w:w="3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Complete First Report of Injury</w:t>
            </w:r>
          </w:p>
        </w:tc>
        <w:tc>
          <w:tcPr>
            <w:tcW w:type="dxa" w:w="2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Within 24 hours</w:t>
            </w:r>
          </w:p>
        </w:tc>
        <w:tc>
          <w:tcPr>
            <w:tcW w:type="dxa" w:w="4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Supervisor + HR</w:t>
            </w:r>
          </w:p>
        </w:tc>
      </w:tr>
      <w:tr>
        <w:tc>
          <w:tcPr>
            <w:tcW w:type="dxa" w:w="3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Contact injured worker</w:t>
            </w:r>
          </w:p>
        </w:tc>
        <w:tc>
          <w:tcPr>
            <w:tcW w:type="dxa" w:w="2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Within 24 hours</w:t>
            </w:r>
          </w:p>
        </w:tc>
        <w:tc>
          <w:tcPr>
            <w:tcW w:type="dxa" w:w="4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Direct supervisor</w:t>
            </w:r>
          </w:p>
        </w:tc>
      </w:tr>
      <w:tr>
        <w:tc>
          <w:tcPr>
            <w:tcW w:type="dxa" w:w="3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Begin investigation</w:t>
            </w:r>
          </w:p>
        </w:tc>
        <w:tc>
          <w:tcPr>
            <w:tcW w:type="dxa" w:w="2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Within 24 hours</w:t>
            </w:r>
          </w:p>
        </w:tc>
        <w:tc>
          <w:tcPr>
            <w:tcW w:type="dxa" w:w="40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Safety Manager</w:t>
            </w:r>
          </w:p>
        </w:tc>
      </w:tr>
      <w:tr>
        <w:tc>
          <w:tcPr>
            <w:tcW w:type="dxa" w:w="3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Identify modified duty options</w:t>
            </w:r>
          </w:p>
        </w:tc>
        <w:tc>
          <w:tcPr>
            <w:tcW w:type="dxa" w:w="2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Within 48 hours</w:t>
            </w:r>
          </w:p>
        </w:tc>
        <w:tc>
          <w:tcPr>
            <w:tcW w:type="dxa" w:w="40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HR / Operations</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2</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Investigation &amp; Documentation</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Thorough investigation serves two purposes: it identifies root causes to prevent future injuries, and it creates the documentation needed to manage the claim effectively. Investigation should begin within 24 hours while memories are fresh and physical evidence is intact.</w:t>
      </w:r>
    </w:p>
    <w:p>
      <w:pPr>
        <w:pStyle w:val="Heading3"/>
      </w:pPr>
      <w:r>
        <w:rPr>
          <w:b/>
          <w:bCs/>
        </w:rPr>
        <w:t xml:space="preserve">Investigation Best Practices</w:t>
      </w:r>
    </w:p>
    <w:p>
      <w:pPr>
        <w:pStyle w:val="ListParagraph"/>
        <w:numPr>
          <w:ilvl w:val="0"/>
          <w:numId w:val="2"/>
        </w:numPr>
        <w:spacing w:after="80"/>
      </w:pPr>
      <w:r>
        <w:rPr>
          <w:rFonts w:ascii="Arial" w:cs="Arial" w:eastAsia="Arial" w:hAnsi="Arial"/>
          <w:color w:val="333333"/>
          <w:sz w:val="21"/>
          <w:szCs w:val="21"/>
        </w:rPr>
        <w:t xml:space="preserve">Interview the injured worker, witnesses, and supervisors separately and promptly</w:t>
      </w:r>
    </w:p>
    <w:p>
      <w:pPr>
        <w:pStyle w:val="ListParagraph"/>
        <w:numPr>
          <w:ilvl w:val="0"/>
          <w:numId w:val="2"/>
        </w:numPr>
        <w:spacing w:after="80"/>
      </w:pPr>
      <w:r>
        <w:rPr>
          <w:rFonts w:ascii="Arial" w:cs="Arial" w:eastAsia="Arial" w:hAnsi="Arial"/>
          <w:color w:val="333333"/>
          <w:sz w:val="21"/>
          <w:szCs w:val="21"/>
        </w:rPr>
        <w:t xml:space="preserve">Photograph the scene, equipment, conditions, and any contributing factors</w:t>
      </w:r>
    </w:p>
    <w:p>
      <w:pPr>
        <w:pStyle w:val="ListParagraph"/>
        <w:numPr>
          <w:ilvl w:val="0"/>
          <w:numId w:val="2"/>
        </w:numPr>
        <w:spacing w:after="80"/>
      </w:pPr>
      <w:r>
        <w:rPr>
          <w:rFonts w:ascii="Arial" w:cs="Arial" w:eastAsia="Arial" w:hAnsi="Arial"/>
          <w:color w:val="333333"/>
          <w:sz w:val="21"/>
          <w:szCs w:val="21"/>
        </w:rPr>
        <w:t xml:space="preserve">Document environmental conditions such as weather, lighting, noise, and housekeeping</w:t>
      </w:r>
    </w:p>
    <w:p>
      <w:pPr>
        <w:pStyle w:val="ListParagraph"/>
        <w:numPr>
          <w:ilvl w:val="0"/>
          <w:numId w:val="2"/>
        </w:numPr>
        <w:spacing w:after="80"/>
      </w:pPr>
      <w:r>
        <w:rPr>
          <w:rFonts w:ascii="Arial" w:cs="Arial" w:eastAsia="Arial" w:hAnsi="Arial"/>
          <w:color w:val="333333"/>
          <w:sz w:val="21"/>
          <w:szCs w:val="21"/>
        </w:rPr>
        <w:t xml:space="preserve">Review training records, safety procedures, and any prior incidents in the same area</w:t>
      </w:r>
    </w:p>
    <w:p>
      <w:pPr>
        <w:pStyle w:val="ListParagraph"/>
        <w:numPr>
          <w:ilvl w:val="0"/>
          <w:numId w:val="2"/>
        </w:numPr>
        <w:spacing w:after="80"/>
      </w:pPr>
      <w:r>
        <w:rPr>
          <w:rFonts w:ascii="Arial" w:cs="Arial" w:eastAsia="Arial" w:hAnsi="Arial"/>
          <w:color w:val="333333"/>
          <w:sz w:val="21"/>
          <w:szCs w:val="21"/>
        </w:rPr>
        <w:t xml:space="preserve">Identify root causes using the “5 Whys” technique — go beyond surface-level explanations</w:t>
      </w:r>
    </w:p>
    <w:p>
      <w:pPr>
        <w:pStyle w:val="ListParagraph"/>
        <w:numPr>
          <w:ilvl w:val="0"/>
          <w:numId w:val="2"/>
        </w:numPr>
        <w:spacing w:after="80"/>
      </w:pPr>
      <w:r>
        <w:rPr>
          <w:rFonts w:ascii="Arial" w:cs="Arial" w:eastAsia="Arial" w:hAnsi="Arial"/>
          <w:color w:val="333333"/>
          <w:sz w:val="21"/>
          <w:szCs w:val="21"/>
        </w:rPr>
        <w:t xml:space="preserve">Document corrective actions taken and assign responsibility with deadlines</w:t>
      </w:r>
    </w:p>
    <w:p>
      <w:pPr>
        <w:pStyle w:val="ListParagraph"/>
        <w:numPr>
          <w:ilvl w:val="0"/>
          <w:numId w:val="2"/>
        </w:numPr>
        <w:spacing w:after="80"/>
      </w:pPr>
      <w:r>
        <w:rPr>
          <w:rFonts w:ascii="Arial" w:cs="Arial" w:eastAsia="Arial" w:hAnsi="Arial"/>
          <w:color w:val="333333"/>
          <w:sz w:val="21"/>
          <w:szCs w:val="21"/>
        </w:rPr>
        <w:t xml:space="preserve">Maintain investigation files separately from personnel records</w:t>
      </w:r>
    </w:p>
    <w:p>
      <w:pPr>
        <w:spacing w:before="80" w:after="0"/>
      </w:pPr>
    </w:p>
    <w:p>
      <w:pPr>
        <w:pStyle w:val="Heading3"/>
      </w:pPr>
      <w:r>
        <w:rPr>
          <w:b/>
          <w:bCs/>
        </w:rPr>
        <w:t xml:space="preserve">Documentation Essentials</w:t>
      </w:r>
    </w:p>
    <w:p>
      <w:pPr>
        <w:spacing w:after="160"/>
      </w:pPr>
      <w:r>
        <w:rPr>
          <w:rFonts w:ascii="Arial" w:cs="Arial" w:eastAsia="Arial" w:hAnsi="Arial"/>
          <w:b w:val="false"/>
          <w:bCs w:val="false"/>
          <w:i w:val="false"/>
          <w:iCs w:val="false"/>
          <w:color w:val="333333"/>
          <w:sz w:val="22"/>
          <w:szCs w:val="22"/>
        </w:rPr>
        <w:t xml:space="preserve">Every claim file should contain a complete, organized set of documents that tells the story of the injury and the company’s response. Missing documentation weakens your position and can inflate claim costs.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4160"/>
        <w:gridCol w:w="3000"/>
      </w:tblGrid>
      <w:tr>
        <w:tc>
          <w:tcPr>
            <w:tcW w:type="dxa" w:w="2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Document</w:t>
            </w:r>
          </w:p>
        </w:tc>
        <w:tc>
          <w:tcPr>
            <w:tcW w:type="dxa" w:w="41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Purpose</w:t>
            </w:r>
          </w:p>
        </w:tc>
        <w:tc>
          <w:tcPr>
            <w:tcW w:type="dxa" w:w="30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When to Obtain</w:t>
            </w:r>
          </w:p>
        </w:tc>
      </w:tr>
      <w:tr>
        <w:tc>
          <w:tcPr>
            <w:tcW w:type="dxa" w:w="2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First Report of Injury</w:t>
            </w:r>
          </w:p>
        </w:tc>
        <w:tc>
          <w:tcPr>
            <w:tcW w:type="dxa" w:w="4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Official record of the incident for carrier and state</w:t>
            </w:r>
          </w:p>
        </w:tc>
        <w:tc>
          <w:tcPr>
            <w:tcW w:type="dxa" w:w="3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Within 24 hours of injury</w:t>
            </w:r>
          </w:p>
        </w:tc>
      </w:tr>
      <w:tr>
        <w:tc>
          <w:tcPr>
            <w:tcW w:type="dxa" w:w="2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Witness Statements</w:t>
            </w:r>
          </w:p>
        </w:tc>
        <w:tc>
          <w:tcPr>
            <w:tcW w:type="dxa" w:w="4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Corroborate or clarify the circumstances of injury</w:t>
            </w:r>
          </w:p>
        </w:tc>
        <w:tc>
          <w:tcPr>
            <w:tcW w:type="dxa" w:w="30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Within 24–48 hours</w:t>
            </w:r>
          </w:p>
        </w:tc>
      </w:tr>
      <w:tr>
        <w:tc>
          <w:tcPr>
            <w:tcW w:type="dxa" w:w="2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Photos / Video</w:t>
            </w:r>
          </w:p>
        </w:tc>
        <w:tc>
          <w:tcPr>
            <w:tcW w:type="dxa" w:w="4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Preserve scene conditions and physical evidence</w:t>
            </w:r>
          </w:p>
        </w:tc>
        <w:tc>
          <w:tcPr>
            <w:tcW w:type="dxa" w:w="3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Immediately after securing scene</w:t>
            </w:r>
          </w:p>
        </w:tc>
      </w:tr>
      <w:tr>
        <w:tc>
          <w:tcPr>
            <w:tcW w:type="dxa" w:w="2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Medical Records</w:t>
            </w:r>
          </w:p>
        </w:tc>
        <w:tc>
          <w:tcPr>
            <w:tcW w:type="dxa" w:w="4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Track diagnosis, treatment plan, and restrictions</w:t>
            </w:r>
          </w:p>
        </w:tc>
        <w:tc>
          <w:tcPr>
            <w:tcW w:type="dxa" w:w="30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Ongoing throughout claim</w:t>
            </w:r>
          </w:p>
        </w:tc>
      </w:tr>
      <w:tr>
        <w:tc>
          <w:tcPr>
            <w:tcW w:type="dxa" w:w="2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Job Description</w:t>
            </w:r>
          </w:p>
        </w:tc>
        <w:tc>
          <w:tcPr>
            <w:tcW w:type="dxa" w:w="4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Defines physical demands for return-to-work planning</w:t>
            </w:r>
          </w:p>
        </w:tc>
        <w:tc>
          <w:tcPr>
            <w:tcW w:type="dxa" w:w="3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Keep current; provide to physician</w:t>
            </w:r>
          </w:p>
        </w:tc>
      </w:tr>
      <w:tr>
        <w:tc>
          <w:tcPr>
            <w:tcW w:type="dxa" w:w="2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Training Records</w:t>
            </w:r>
          </w:p>
        </w:tc>
        <w:tc>
          <w:tcPr>
            <w:tcW w:type="dxa" w:w="4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Demonstrate compliance and employee preparedness</w:t>
            </w:r>
          </w:p>
        </w:tc>
        <w:tc>
          <w:tcPr>
            <w:tcW w:type="dxa" w:w="30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Pull from files within 48 hours</w:t>
            </w:r>
          </w:p>
        </w:tc>
      </w:tr>
      <w:tr>
        <w:tc>
          <w:tcPr>
            <w:tcW w:type="dxa" w:w="2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Prior Incident Reports</w:t>
            </w:r>
          </w:p>
        </w:tc>
        <w:tc>
          <w:tcPr>
            <w:tcW w:type="dxa" w:w="4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Identify patterns or pre-existing conditions</w:t>
            </w:r>
          </w:p>
        </w:tc>
        <w:tc>
          <w:tcPr>
            <w:tcW w:type="dxa" w:w="3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Pull from files within 48 hours</w:t>
            </w:r>
          </w:p>
        </w:tc>
      </w:tr>
    </w:tbl>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Common Mistake: </w:t>
            </w:r>
            <w:r>
              <w:rPr>
                <w:rFonts w:ascii="Arial" w:cs="Arial" w:eastAsia="Arial" w:hAnsi="Arial"/>
                <w:color w:val="333333"/>
                <w:sz w:val="20"/>
                <w:szCs w:val="20"/>
              </w:rPr>
              <w:t xml:space="preserve">Many employers fail to document the injured worker’s own description of the injury in their own words. This contemporaneous account is invaluable if the claim is later disputed or the worker’s story changes over time.</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3</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Return-to-Work Programs</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Return-to-work (RTW) programs are the most powerful tool for reducing workers’ compensation claim costs. Employers with formal RTW programs reduce claim duration by 30–50% and total claim costs proportionally. The longer a worker is away from the job, the less likely they are to return at all.</w:t>
      </w:r>
    </w:p>
    <w:p>
      <w:pPr>
        <w:pStyle w:val="Heading3"/>
      </w:pPr>
      <w:r>
        <w:rPr>
          <w:b/>
          <w:bCs/>
        </w:rPr>
        <w:t xml:space="preserve">Building an Effective RTW Program</w:t>
      </w:r>
    </w:p>
    <w:p>
      <w:pPr>
        <w:pStyle w:val="ListParagraph"/>
        <w:numPr>
          <w:ilvl w:val="0"/>
          <w:numId w:val="2"/>
        </w:numPr>
        <w:spacing w:after="80"/>
      </w:pPr>
      <w:r>
        <w:rPr>
          <w:rFonts w:ascii="Arial" w:cs="Arial" w:eastAsia="Arial" w:hAnsi="Arial"/>
          <w:color w:val="333333"/>
          <w:sz w:val="21"/>
          <w:szCs w:val="21"/>
        </w:rPr>
        <w:t xml:space="preserve">Establish a written RTW policy that applies to all employees and all injuries</w:t>
      </w:r>
    </w:p>
    <w:p>
      <w:pPr>
        <w:pStyle w:val="ListParagraph"/>
        <w:numPr>
          <w:ilvl w:val="0"/>
          <w:numId w:val="2"/>
        </w:numPr>
        <w:spacing w:after="80"/>
      </w:pPr>
      <w:r>
        <w:rPr>
          <w:rFonts w:ascii="Arial" w:cs="Arial" w:eastAsia="Arial" w:hAnsi="Arial"/>
          <w:color w:val="333333"/>
          <w:sz w:val="21"/>
          <w:szCs w:val="21"/>
        </w:rPr>
        <w:t xml:space="preserve">Create a library of modified-duty positions across departments before injuries occur</w:t>
      </w:r>
    </w:p>
    <w:p>
      <w:pPr>
        <w:pStyle w:val="ListParagraph"/>
        <w:numPr>
          <w:ilvl w:val="0"/>
          <w:numId w:val="2"/>
        </w:numPr>
        <w:spacing w:after="80"/>
      </w:pPr>
      <w:r>
        <w:rPr>
          <w:rFonts w:ascii="Arial" w:cs="Arial" w:eastAsia="Arial" w:hAnsi="Arial"/>
          <w:color w:val="333333"/>
          <w:sz w:val="21"/>
          <w:szCs w:val="21"/>
        </w:rPr>
        <w:t xml:space="preserve">Communicate the program to all employees during onboarding and annually thereafter</w:t>
      </w:r>
    </w:p>
    <w:p>
      <w:pPr>
        <w:pStyle w:val="ListParagraph"/>
        <w:numPr>
          <w:ilvl w:val="0"/>
          <w:numId w:val="2"/>
        </w:numPr>
        <w:spacing w:after="80"/>
      </w:pPr>
      <w:r>
        <w:rPr>
          <w:rFonts w:ascii="Arial" w:cs="Arial" w:eastAsia="Arial" w:hAnsi="Arial"/>
          <w:color w:val="333333"/>
          <w:sz w:val="21"/>
          <w:szCs w:val="21"/>
        </w:rPr>
        <w:t xml:space="preserve">Engage the treating physician early — provide physical job demands and available modifications</w:t>
      </w:r>
    </w:p>
    <w:p>
      <w:pPr>
        <w:pStyle w:val="ListParagraph"/>
        <w:numPr>
          <w:ilvl w:val="0"/>
          <w:numId w:val="2"/>
        </w:numPr>
        <w:spacing w:after="80"/>
      </w:pPr>
      <w:r>
        <w:rPr>
          <w:rFonts w:ascii="Arial" w:cs="Arial" w:eastAsia="Arial" w:hAnsi="Arial"/>
          <w:color w:val="333333"/>
          <w:sz w:val="21"/>
          <w:szCs w:val="21"/>
        </w:rPr>
        <w:t xml:space="preserve">Contact the injured worker within 24 hours to express concern and discuss RTW expectations</w:t>
      </w:r>
    </w:p>
    <w:p>
      <w:pPr>
        <w:pStyle w:val="ListParagraph"/>
        <w:numPr>
          <w:ilvl w:val="0"/>
          <w:numId w:val="2"/>
        </w:numPr>
        <w:spacing w:after="80"/>
      </w:pPr>
      <w:r>
        <w:rPr>
          <w:rFonts w:ascii="Arial" w:cs="Arial" w:eastAsia="Arial" w:hAnsi="Arial"/>
          <w:color w:val="333333"/>
          <w:sz w:val="21"/>
          <w:szCs w:val="21"/>
        </w:rPr>
        <w:t xml:space="preserve">Match restrictions to available modified duty; be creative about meaningful work assignments</w:t>
      </w:r>
    </w:p>
    <w:p>
      <w:pPr>
        <w:pStyle w:val="ListParagraph"/>
        <w:numPr>
          <w:ilvl w:val="0"/>
          <w:numId w:val="2"/>
        </w:numPr>
        <w:spacing w:after="80"/>
      </w:pPr>
      <w:r>
        <w:rPr>
          <w:rFonts w:ascii="Arial" w:cs="Arial" w:eastAsia="Arial" w:hAnsi="Arial"/>
          <w:color w:val="333333"/>
          <w:sz w:val="21"/>
          <w:szCs w:val="21"/>
        </w:rPr>
        <w:t xml:space="preserve">Monitor progress weekly and adjust duties as restrictions change</w:t>
      </w:r>
    </w:p>
    <w:p>
      <w:pPr>
        <w:pStyle w:val="ListParagraph"/>
        <w:numPr>
          <w:ilvl w:val="0"/>
          <w:numId w:val="2"/>
        </w:numPr>
        <w:spacing w:after="80"/>
      </w:pPr>
      <w:r>
        <w:rPr>
          <w:rFonts w:ascii="Arial" w:cs="Arial" w:eastAsia="Arial" w:hAnsi="Arial"/>
          <w:color w:val="333333"/>
          <w:sz w:val="21"/>
          <w:szCs w:val="21"/>
        </w:rPr>
        <w:t xml:space="preserve">Transition from modified duty to full duty gradually when medically appropriate</w:t>
      </w:r>
    </w:p>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3280"/>
        <w:gridCol w:w="3280"/>
      </w:tblGrid>
      <w:tr>
        <w:tc>
          <w:tcPr>
            <w:tcW w:type="dxa" w:w="28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Duration Away from Work</w:t>
            </w:r>
          </w:p>
        </w:tc>
        <w:tc>
          <w:tcPr>
            <w:tcW w:type="dxa" w:w="328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Probability of Returning</w:t>
            </w:r>
          </w:p>
        </w:tc>
        <w:tc>
          <w:tcPr>
            <w:tcW w:type="dxa" w:w="328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Cost Implication</w:t>
            </w:r>
          </w:p>
        </w:tc>
      </w:tr>
      <w:tr>
        <w:tc>
          <w:tcPr>
            <w:tcW w:type="dxa" w:w="2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Less than 30 days</w:t>
            </w:r>
          </w:p>
        </w:tc>
        <w:tc>
          <w:tcPr>
            <w:tcW w:type="dxa" w:w="32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95% return to work</w:t>
            </w:r>
          </w:p>
        </w:tc>
        <w:tc>
          <w:tcPr>
            <w:tcW w:type="dxa" w:w="32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Lowest total claim cost</w:t>
            </w:r>
          </w:p>
        </w:tc>
      </w:tr>
      <w:tr>
        <w:tc>
          <w:tcPr>
            <w:tcW w:type="dxa" w:w="2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30–90 days</w:t>
            </w:r>
          </w:p>
        </w:tc>
        <w:tc>
          <w:tcPr>
            <w:tcW w:type="dxa" w:w="32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80% return to work</w:t>
            </w:r>
          </w:p>
        </w:tc>
        <w:tc>
          <w:tcPr>
            <w:tcW w:type="dxa" w:w="32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Moderate — costs accelerate</w:t>
            </w:r>
          </w:p>
        </w:tc>
      </w:tr>
      <w:tr>
        <w:tc>
          <w:tcPr>
            <w:tcW w:type="dxa" w:w="2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90–180 days</w:t>
            </w:r>
          </w:p>
        </w:tc>
        <w:tc>
          <w:tcPr>
            <w:tcW w:type="dxa" w:w="32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50% return to work</w:t>
            </w:r>
          </w:p>
        </w:tc>
        <w:tc>
          <w:tcPr>
            <w:tcW w:type="dxa" w:w="328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High — litigation risk increases</w:t>
            </w:r>
          </w:p>
        </w:tc>
      </w:tr>
      <w:tr>
        <w:tc>
          <w:tcPr>
            <w:tcW w:type="dxa" w:w="2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Over 180 days</w:t>
            </w:r>
          </w:p>
        </w:tc>
        <w:tc>
          <w:tcPr>
            <w:tcW w:type="dxa" w:w="32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Less than 25% return</w:t>
            </w:r>
          </w:p>
        </w:tc>
        <w:tc>
          <w:tcPr>
            <w:tcW w:type="dxa" w:w="328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Very high — claim becomes entrenched</w:t>
            </w:r>
          </w:p>
        </w:tc>
      </w:tr>
    </w:tbl>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Best Practice: </w:t>
            </w:r>
            <w:r>
              <w:rPr>
                <w:rFonts w:ascii="Arial" w:cs="Arial" w:eastAsia="Arial" w:hAnsi="Arial"/>
                <w:color w:val="333333"/>
                <w:sz w:val="20"/>
                <w:szCs w:val="20"/>
              </w:rPr>
              <w:t xml:space="preserve">The most successful RTW programs are led by operations managers, not just HR. When a supervisor personally calls the injured worker to say “We need you back and we have a role ready for you,” return-to-work rates increase dramatically. Make it personal.</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4</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Medical Management</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Medical costs represent the fastest-growing component of workers’ compensation claims. Proactive medical management ensures injured workers receive appropriate care without unnecessary treatment, specialist referrals, or extended disability. The goal is optimal recovery, not minimal treatment.</w:t>
      </w:r>
    </w:p>
    <w:p>
      <w:pPr>
        <w:pStyle w:val="Heading3"/>
      </w:pPr>
      <w:r>
        <w:rPr>
          <w:b/>
          <w:bCs/>
        </w:rPr>
        <w:t xml:space="preserve">Medical Management Strategies</w:t>
      </w:r>
    </w:p>
    <w:p>
      <w:pPr>
        <w:pStyle w:val="ListParagraph"/>
        <w:numPr>
          <w:ilvl w:val="0"/>
          <w:numId w:val="2"/>
        </w:numPr>
        <w:spacing w:after="80"/>
      </w:pPr>
      <w:r>
        <w:rPr>
          <w:rFonts w:ascii="Arial" w:cs="Arial" w:eastAsia="Arial" w:hAnsi="Arial"/>
          <w:color w:val="333333"/>
          <w:sz w:val="21"/>
          <w:szCs w:val="21"/>
        </w:rPr>
        <w:t xml:space="preserve">Establish relationships with occupational medicine providers before injuries occur</w:t>
      </w:r>
    </w:p>
    <w:p>
      <w:pPr>
        <w:pStyle w:val="ListParagraph"/>
        <w:numPr>
          <w:ilvl w:val="0"/>
          <w:numId w:val="2"/>
        </w:numPr>
        <w:spacing w:after="80"/>
      </w:pPr>
      <w:r>
        <w:rPr>
          <w:rFonts w:ascii="Arial" w:cs="Arial" w:eastAsia="Arial" w:hAnsi="Arial"/>
          <w:color w:val="333333"/>
          <w:sz w:val="21"/>
          <w:szCs w:val="21"/>
        </w:rPr>
        <w:t xml:space="preserve">Direct initial treatment to your preferred clinic whenever state law permits</w:t>
      </w:r>
    </w:p>
    <w:p>
      <w:pPr>
        <w:pStyle w:val="ListParagraph"/>
        <w:numPr>
          <w:ilvl w:val="0"/>
          <w:numId w:val="2"/>
        </w:numPr>
        <w:spacing w:after="80"/>
      </w:pPr>
      <w:r>
        <w:rPr>
          <w:rFonts w:ascii="Arial" w:cs="Arial" w:eastAsia="Arial" w:hAnsi="Arial"/>
          <w:color w:val="333333"/>
          <w:sz w:val="21"/>
          <w:szCs w:val="21"/>
        </w:rPr>
        <w:t xml:space="preserve">Provide the treating physician with a detailed physical job description and available modifications</w:t>
      </w:r>
    </w:p>
    <w:p>
      <w:pPr>
        <w:pStyle w:val="ListParagraph"/>
        <w:numPr>
          <w:ilvl w:val="0"/>
          <w:numId w:val="2"/>
        </w:numPr>
        <w:spacing w:after="80"/>
      </w:pPr>
      <w:r>
        <w:rPr>
          <w:rFonts w:ascii="Arial" w:cs="Arial" w:eastAsia="Arial" w:hAnsi="Arial"/>
          <w:color w:val="333333"/>
          <w:sz w:val="21"/>
          <w:szCs w:val="21"/>
        </w:rPr>
        <w:t xml:space="preserve">Request clear work restrictions in writing after every medical visit</w:t>
      </w:r>
    </w:p>
    <w:p>
      <w:pPr>
        <w:pStyle w:val="ListParagraph"/>
        <w:numPr>
          <w:ilvl w:val="0"/>
          <w:numId w:val="2"/>
        </w:numPr>
        <w:spacing w:after="80"/>
      </w:pPr>
      <w:r>
        <w:rPr>
          <w:rFonts w:ascii="Arial" w:cs="Arial" w:eastAsia="Arial" w:hAnsi="Arial"/>
          <w:color w:val="333333"/>
          <w:sz w:val="21"/>
          <w:szCs w:val="21"/>
        </w:rPr>
        <w:t xml:space="preserve">Monitor treatment plans for appropriateness — flag excessive diagnostics or referrals</w:t>
      </w:r>
    </w:p>
    <w:p>
      <w:pPr>
        <w:pStyle w:val="ListParagraph"/>
        <w:numPr>
          <w:ilvl w:val="0"/>
          <w:numId w:val="2"/>
        </w:numPr>
        <w:spacing w:after="80"/>
      </w:pPr>
      <w:r>
        <w:rPr>
          <w:rFonts w:ascii="Arial" w:cs="Arial" w:eastAsia="Arial" w:hAnsi="Arial"/>
          <w:color w:val="333333"/>
          <w:sz w:val="21"/>
          <w:szCs w:val="21"/>
        </w:rPr>
        <w:t xml:space="preserve">Ensure prescription drug management includes generic alternatives and formulary compliance</w:t>
      </w:r>
    </w:p>
    <w:p>
      <w:pPr>
        <w:pStyle w:val="ListParagraph"/>
        <w:numPr>
          <w:ilvl w:val="0"/>
          <w:numId w:val="2"/>
        </w:numPr>
        <w:spacing w:after="80"/>
      </w:pPr>
      <w:r>
        <w:rPr>
          <w:rFonts w:ascii="Arial" w:cs="Arial" w:eastAsia="Arial" w:hAnsi="Arial"/>
          <w:color w:val="333333"/>
          <w:sz w:val="21"/>
          <w:szCs w:val="21"/>
        </w:rPr>
        <w:t xml:space="preserve">Request peer review or independent medical examination when treatment appears excessive</w:t>
      </w:r>
    </w:p>
    <w:p>
      <w:pPr>
        <w:pStyle w:val="ListParagraph"/>
        <w:numPr>
          <w:ilvl w:val="0"/>
          <w:numId w:val="2"/>
        </w:numPr>
        <w:spacing w:after="80"/>
      </w:pPr>
      <w:r>
        <w:rPr>
          <w:rFonts w:ascii="Arial" w:cs="Arial" w:eastAsia="Arial" w:hAnsi="Arial"/>
          <w:color w:val="333333"/>
          <w:sz w:val="21"/>
          <w:szCs w:val="21"/>
        </w:rPr>
        <w:t xml:space="preserve">Coordinate with the claims adjuster on all medical authorizations</w:t>
      </w:r>
    </w:p>
    <w:p>
      <w:pPr>
        <w:spacing w:before="80" w:after="0"/>
      </w:pPr>
    </w:p>
    <w:p>
      <w:pPr>
        <w:pStyle w:val="Heading3"/>
      </w:pPr>
      <w:r>
        <w:rPr>
          <w:b/>
          <w:bCs/>
        </w:rPr>
        <w:t xml:space="preserve">Selecting Occupational Medicine Providers</w:t>
      </w:r>
    </w:p>
    <w:p>
      <w:pPr>
        <w:spacing w:after="160"/>
      </w:pPr>
      <w:r>
        <w:rPr>
          <w:rFonts w:ascii="Arial" w:cs="Arial" w:eastAsia="Arial" w:hAnsi="Arial"/>
          <w:b w:val="false"/>
          <w:bCs w:val="false"/>
          <w:i w:val="false"/>
          <w:iCs w:val="false"/>
          <w:color w:val="333333"/>
          <w:sz w:val="22"/>
          <w:szCs w:val="22"/>
        </w:rPr>
        <w:t xml:space="preserve">Your choice of occupational medicine provider significantly impacts claim outcomes. The right provider understands the balance between appropriate medical care and timely return to work. Evaluate providers based on their experience with occupational injuries, their communication responsiveness, their understanding of work restrictions, and their willingness to engage with employers on modified duty options.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Cost Control: </w:t>
            </w:r>
            <w:r>
              <w:rPr>
                <w:rFonts w:ascii="Arial" w:cs="Arial" w:eastAsia="Arial" w:hAnsi="Arial"/>
                <w:color w:val="333333"/>
                <w:sz w:val="20"/>
                <w:szCs w:val="20"/>
              </w:rPr>
              <w:t xml:space="preserve">Medical-only claims (no lost time) are weighted at just 30% in the EMR calculation compared to 100% for indemnity claims. Keeping an injured worker on modified duty — even at reduced capacity — converts what would be an indemnity claim into a medical-only claim, significantly reducing your EMR impact.</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5</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Reserve Monitoring &amp; Claims Reviews</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Claim reserves — the estimated total cost of a claim — directly affect your EMR calculation. Inflated reserves increase your mod even if the claim ultimately closes for less. Active reserve monitoring ensures your EMR reflects actual experience rather than worst-case estimates.</w:t>
      </w:r>
    </w:p>
    <w:p>
      <w:pPr>
        <w:pStyle w:val="Heading3"/>
      </w:pPr>
      <w:r>
        <w:rPr>
          <w:b/>
          <w:bCs/>
        </w:rPr>
        <w:t xml:space="preserve">Understanding Reserves</w:t>
      </w:r>
    </w:p>
    <w:p>
      <w:pPr>
        <w:spacing w:after="160"/>
      </w:pPr>
      <w:r>
        <w:rPr>
          <w:rFonts w:ascii="Arial" w:cs="Arial" w:eastAsia="Arial" w:hAnsi="Arial"/>
          <w:b w:val="false"/>
          <w:bCs w:val="false"/>
          <w:i w:val="false"/>
          <w:iCs w:val="false"/>
          <w:color w:val="333333"/>
          <w:sz w:val="22"/>
          <w:szCs w:val="22"/>
        </w:rPr>
        <w:t xml:space="preserve">When a claim is opened, the insurance adjuster sets an initial reserve based on the type of injury and expected costs. This reserve includes projected medical expenses, lost wages, and any anticipated settlement. Reserves are supposed to be updated as claims develop, but adjusters managing large caseloads may not reduce reserves promptly when claims improve.</w:t>
      </w:r>
    </w:p>
    <w:p>
      <w:pPr>
        <w:pStyle w:val="Heading3"/>
      </w:pPr>
      <w:r>
        <w:rPr>
          <w:b/>
          <w:bCs/>
        </w:rPr>
        <w:t xml:space="preserve">Claims Review Process</w:t>
      </w:r>
    </w:p>
    <w:p>
      <w:pPr>
        <w:pStyle w:val="ListParagraph"/>
        <w:numPr>
          <w:ilvl w:val="0"/>
          <w:numId w:val="2"/>
        </w:numPr>
        <w:spacing w:after="80"/>
      </w:pPr>
      <w:r>
        <w:rPr>
          <w:rFonts w:ascii="Arial" w:cs="Arial" w:eastAsia="Arial" w:hAnsi="Arial"/>
          <w:color w:val="333333"/>
          <w:sz w:val="21"/>
          <w:szCs w:val="21"/>
        </w:rPr>
        <w:t xml:space="preserve">Schedule formal claims reviews with your adjuster at least quarterly for open claims</w:t>
      </w:r>
    </w:p>
    <w:p>
      <w:pPr>
        <w:pStyle w:val="ListParagraph"/>
        <w:numPr>
          <w:ilvl w:val="0"/>
          <w:numId w:val="2"/>
        </w:numPr>
        <w:spacing w:after="80"/>
      </w:pPr>
      <w:r>
        <w:rPr>
          <w:rFonts w:ascii="Arial" w:cs="Arial" w:eastAsia="Arial" w:hAnsi="Arial"/>
          <w:color w:val="333333"/>
          <w:sz w:val="21"/>
          <w:szCs w:val="21"/>
        </w:rPr>
        <w:t xml:space="preserve">Request current reserve breakdowns showing medical, indemnity, and expense reserves separately</w:t>
      </w:r>
    </w:p>
    <w:p>
      <w:pPr>
        <w:pStyle w:val="ListParagraph"/>
        <w:numPr>
          <w:ilvl w:val="0"/>
          <w:numId w:val="2"/>
        </w:numPr>
        <w:spacing w:after="80"/>
      </w:pPr>
      <w:r>
        <w:rPr>
          <w:rFonts w:ascii="Arial" w:cs="Arial" w:eastAsia="Arial" w:hAnsi="Arial"/>
          <w:color w:val="333333"/>
          <w:sz w:val="21"/>
          <w:szCs w:val="21"/>
        </w:rPr>
        <w:t xml:space="preserve">Challenge reserves that appear excessive relative to the current claim status</w:t>
      </w:r>
    </w:p>
    <w:p>
      <w:pPr>
        <w:pStyle w:val="ListParagraph"/>
        <w:numPr>
          <w:ilvl w:val="0"/>
          <w:numId w:val="2"/>
        </w:numPr>
        <w:spacing w:after="80"/>
      </w:pPr>
      <w:r>
        <w:rPr>
          <w:rFonts w:ascii="Arial" w:cs="Arial" w:eastAsia="Arial" w:hAnsi="Arial"/>
          <w:color w:val="333333"/>
          <w:sz w:val="21"/>
          <w:szCs w:val="21"/>
        </w:rPr>
        <w:t xml:space="preserve">Verify that closed claims show zero reserves — leftover reserves inflate your EMR</w:t>
      </w:r>
    </w:p>
    <w:p>
      <w:pPr>
        <w:pStyle w:val="ListParagraph"/>
        <w:numPr>
          <w:ilvl w:val="0"/>
          <w:numId w:val="2"/>
        </w:numPr>
        <w:spacing w:after="80"/>
      </w:pPr>
      <w:r>
        <w:rPr>
          <w:rFonts w:ascii="Arial" w:cs="Arial" w:eastAsia="Arial" w:hAnsi="Arial"/>
          <w:color w:val="333333"/>
          <w:sz w:val="21"/>
          <w:szCs w:val="21"/>
        </w:rPr>
        <w:t xml:space="preserve">Request that reserves on improving claims be reduced to reflect current medical status</w:t>
      </w:r>
    </w:p>
    <w:p>
      <w:pPr>
        <w:pStyle w:val="ListParagraph"/>
        <w:numPr>
          <w:ilvl w:val="0"/>
          <w:numId w:val="2"/>
        </w:numPr>
        <w:spacing w:after="80"/>
      </w:pPr>
      <w:r>
        <w:rPr>
          <w:rFonts w:ascii="Arial" w:cs="Arial" w:eastAsia="Arial" w:hAnsi="Arial"/>
          <w:color w:val="333333"/>
          <w:sz w:val="21"/>
          <w:szCs w:val="21"/>
        </w:rPr>
        <w:t xml:space="preserve">Track subrogation opportunities and ensure recoveries are credited to your experience</w:t>
      </w:r>
    </w:p>
    <w:p>
      <w:pPr>
        <w:pStyle w:val="ListParagraph"/>
        <w:numPr>
          <w:ilvl w:val="0"/>
          <w:numId w:val="2"/>
        </w:numPr>
        <w:spacing w:after="80"/>
      </w:pPr>
      <w:r>
        <w:rPr>
          <w:rFonts w:ascii="Arial" w:cs="Arial" w:eastAsia="Arial" w:hAnsi="Arial"/>
          <w:color w:val="333333"/>
          <w:sz w:val="21"/>
          <w:szCs w:val="21"/>
        </w:rPr>
        <w:t xml:space="preserve">Document all claims review discussions and action items in writing</w:t>
      </w:r>
    </w:p>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4000"/>
        <w:gridCol w:w="3560"/>
      </w:tblGrid>
      <w:tr>
        <w:tc>
          <w:tcPr>
            <w:tcW w:type="dxa" w:w="18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Review Element</w:t>
            </w:r>
          </w:p>
        </w:tc>
        <w:tc>
          <w:tcPr>
            <w:tcW w:type="dxa" w:w="40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What to Check</w:t>
            </w:r>
          </w:p>
        </w:tc>
        <w:tc>
          <w:tcPr>
            <w:tcW w:type="dxa" w:w="35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Red Flag</w:t>
            </w:r>
          </w:p>
        </w:tc>
      </w:tr>
      <w:tr>
        <w:tc>
          <w:tcPr>
            <w:tcW w:type="dxa" w:w="1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Medical Reserves</w:t>
            </w:r>
          </w:p>
        </w:tc>
        <w:tc>
          <w:tcPr>
            <w:tcW w:type="dxa" w:w="4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Compare to actual treatment costs and prognosis</w:t>
            </w:r>
          </w:p>
        </w:tc>
        <w:tc>
          <w:tcPr>
            <w:tcW w:type="dxa" w:w="35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Reserve exceeds 2x paid medical to date</w:t>
            </w:r>
          </w:p>
        </w:tc>
      </w:tr>
      <w:tr>
        <w:tc>
          <w:tcPr>
            <w:tcW w:type="dxa" w:w="1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Indemnity Reserves</w:t>
            </w:r>
          </w:p>
        </w:tc>
        <w:tc>
          <w:tcPr>
            <w:tcW w:type="dxa" w:w="40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Compare to remaining disability duration</w:t>
            </w:r>
          </w:p>
        </w:tc>
        <w:tc>
          <w:tcPr>
            <w:tcW w:type="dxa" w:w="35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Reserve assumes maximum disability</w:t>
            </w:r>
          </w:p>
        </w:tc>
      </w:tr>
      <w:tr>
        <w:tc>
          <w:tcPr>
            <w:tcW w:type="dxa" w:w="1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Expense Reserves</w:t>
            </w:r>
          </w:p>
        </w:tc>
        <w:tc>
          <w:tcPr>
            <w:tcW w:type="dxa" w:w="4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Legal and investigation costs</w:t>
            </w:r>
          </w:p>
        </w:tc>
        <w:tc>
          <w:tcPr>
            <w:tcW w:type="dxa" w:w="35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Attorney involvement not yet warranted</w:t>
            </w:r>
          </w:p>
        </w:tc>
      </w:tr>
      <w:tr>
        <w:tc>
          <w:tcPr>
            <w:tcW w:type="dxa" w:w="1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Closed Claims</w:t>
            </w:r>
          </w:p>
        </w:tc>
        <w:tc>
          <w:tcPr>
            <w:tcW w:type="dxa" w:w="40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Should show $0 in reserves</w:t>
            </w:r>
          </w:p>
        </w:tc>
        <w:tc>
          <w:tcPr>
            <w:tcW w:type="dxa" w:w="35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Any reserve remaining on closed claim</w:t>
            </w:r>
          </w:p>
        </w:tc>
      </w:tr>
      <w:tr>
        <w:tc>
          <w:tcPr>
            <w:tcW w:type="dxa" w:w="1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Subrogation</w:t>
            </w:r>
          </w:p>
        </w:tc>
        <w:tc>
          <w:tcPr>
            <w:tcW w:type="dxa" w:w="40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Third-party recovery potential</w:t>
            </w:r>
          </w:p>
        </w:tc>
        <w:tc>
          <w:tcPr>
            <w:tcW w:type="dxa" w:w="35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No subrogation investigation initiated</w:t>
            </w:r>
          </w:p>
        </w:tc>
      </w:tr>
    </w:tbl>
    <w:p>
      <w:pPr>
        <w:spacing w:before="8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Pro Tip: </w:t>
            </w:r>
            <w:r>
              <w:rPr>
                <w:rFonts w:ascii="Arial" w:cs="Arial" w:eastAsia="Arial" w:hAnsi="Arial"/>
                <w:color w:val="333333"/>
                <w:sz w:val="20"/>
                <w:szCs w:val="20"/>
              </w:rPr>
              <w:t xml:space="preserve">Request your loss runs 90 days before renewal and compare every claim’s reserve to your internal records. Discrepancies between your carrier’s reported reserves and actual claim status are the most common source of EMR errors — and the easiest to correct.</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6</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Fraud Awareness &amp; Prevention</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While the vast majority of workers’ compensation claims are legitimate, fraudulent or exaggerated claims do occur and can significantly impact costs. Awareness and consistent processes are your best defenses. The goal is not to create an adversarial environment but to ensure fair treatment for all employees.</w:t>
      </w:r>
    </w:p>
    <w:p>
      <w:pPr>
        <w:pStyle w:val="Heading3"/>
      </w:pPr>
      <w:r>
        <w:rPr>
          <w:b/>
          <w:bCs/>
        </w:rPr>
        <w:t xml:space="preserve">Warning Signs to Monitor</w:t>
      </w:r>
    </w:p>
    <w:p>
      <w:pPr>
        <w:pStyle w:val="ListParagraph"/>
        <w:numPr>
          <w:ilvl w:val="0"/>
          <w:numId w:val="2"/>
        </w:numPr>
        <w:spacing w:after="80"/>
      </w:pPr>
      <w:r>
        <w:rPr>
          <w:rFonts w:ascii="Arial" w:cs="Arial" w:eastAsia="Arial" w:hAnsi="Arial"/>
          <w:color w:val="333333"/>
          <w:sz w:val="21"/>
          <w:szCs w:val="21"/>
        </w:rPr>
        <w:t xml:space="preserve">Injury reported on Monday morning but allegedly occurred on Friday afternoon</w:t>
      </w:r>
    </w:p>
    <w:p>
      <w:pPr>
        <w:pStyle w:val="ListParagraph"/>
        <w:numPr>
          <w:ilvl w:val="0"/>
          <w:numId w:val="2"/>
        </w:numPr>
        <w:spacing w:after="80"/>
      </w:pPr>
      <w:r>
        <w:rPr>
          <w:rFonts w:ascii="Arial" w:cs="Arial" w:eastAsia="Arial" w:hAnsi="Arial"/>
          <w:color w:val="333333"/>
          <w:sz w:val="21"/>
          <w:szCs w:val="21"/>
        </w:rPr>
        <w:t xml:space="preserve">No witnesses to the incident despite the work environment typically having coworkers present</w:t>
      </w:r>
    </w:p>
    <w:p>
      <w:pPr>
        <w:pStyle w:val="ListParagraph"/>
        <w:numPr>
          <w:ilvl w:val="0"/>
          <w:numId w:val="2"/>
        </w:numPr>
        <w:spacing w:after="80"/>
      </w:pPr>
      <w:r>
        <w:rPr>
          <w:rFonts w:ascii="Arial" w:cs="Arial" w:eastAsia="Arial" w:hAnsi="Arial"/>
          <w:color w:val="333333"/>
          <w:sz w:val="21"/>
          <w:szCs w:val="21"/>
        </w:rPr>
        <w:t xml:space="preserve">Injured worker has a history of frequent claims or was recently subject to disciplinary action</w:t>
      </w:r>
    </w:p>
    <w:p>
      <w:pPr>
        <w:pStyle w:val="ListParagraph"/>
        <w:numPr>
          <w:ilvl w:val="0"/>
          <w:numId w:val="2"/>
        </w:numPr>
        <w:spacing w:after="80"/>
      </w:pPr>
      <w:r>
        <w:rPr>
          <w:rFonts w:ascii="Arial" w:cs="Arial" w:eastAsia="Arial" w:hAnsi="Arial"/>
          <w:color w:val="333333"/>
          <w:sz w:val="21"/>
          <w:szCs w:val="21"/>
        </w:rPr>
        <w:t xml:space="preserve">Description of injury is vague, inconsistent, or changes over retellings</w:t>
      </w:r>
    </w:p>
    <w:p>
      <w:pPr>
        <w:pStyle w:val="ListParagraph"/>
        <w:numPr>
          <w:ilvl w:val="0"/>
          <w:numId w:val="2"/>
        </w:numPr>
        <w:spacing w:after="80"/>
      </w:pPr>
      <w:r>
        <w:rPr>
          <w:rFonts w:ascii="Arial" w:cs="Arial" w:eastAsia="Arial" w:hAnsi="Arial"/>
          <w:color w:val="333333"/>
          <w:sz w:val="21"/>
          <w:szCs w:val="21"/>
        </w:rPr>
        <w:t xml:space="preserve">Injured worker resists or delays diagnostic testing</w:t>
      </w:r>
    </w:p>
    <w:p>
      <w:pPr>
        <w:pStyle w:val="ListParagraph"/>
        <w:numPr>
          <w:ilvl w:val="0"/>
          <w:numId w:val="2"/>
        </w:numPr>
        <w:spacing w:after="80"/>
      </w:pPr>
      <w:r>
        <w:rPr>
          <w:rFonts w:ascii="Arial" w:cs="Arial" w:eastAsia="Arial" w:hAnsi="Arial"/>
          <w:color w:val="333333"/>
          <w:sz w:val="21"/>
          <w:szCs w:val="21"/>
        </w:rPr>
        <w:t xml:space="preserve">Worker is unreachable during normal business hours while on disability</w:t>
      </w:r>
    </w:p>
    <w:p>
      <w:pPr>
        <w:pStyle w:val="ListParagraph"/>
        <w:numPr>
          <w:ilvl w:val="0"/>
          <w:numId w:val="2"/>
        </w:numPr>
        <w:spacing w:after="80"/>
      </w:pPr>
      <w:r>
        <w:rPr>
          <w:rFonts w:ascii="Arial" w:cs="Arial" w:eastAsia="Arial" w:hAnsi="Arial"/>
          <w:color w:val="333333"/>
          <w:sz w:val="21"/>
          <w:szCs w:val="21"/>
        </w:rPr>
        <w:t xml:space="preserve">Injury coincides with layoffs, termination notice, or end of seasonal employment</w:t>
      </w:r>
    </w:p>
    <w:p>
      <w:pPr>
        <w:spacing w:before="80" w:after="0"/>
      </w:pPr>
    </w:p>
    <w:p>
      <w:pPr>
        <w:pStyle w:val="Heading3"/>
      </w:pPr>
      <w:r>
        <w:rPr>
          <w:b/>
          <w:bCs/>
        </w:rPr>
        <w:t xml:space="preserve">Prevention Strategies</w:t>
      </w:r>
    </w:p>
    <w:p>
      <w:pPr>
        <w:spacing w:after="160"/>
      </w:pPr>
      <w:r>
        <w:rPr>
          <w:rFonts w:ascii="Arial" w:cs="Arial" w:eastAsia="Arial" w:hAnsi="Arial"/>
          <w:b w:val="false"/>
          <w:bCs w:val="false"/>
          <w:i w:val="false"/>
          <w:iCs w:val="false"/>
          <w:color w:val="333333"/>
          <w:sz w:val="22"/>
          <w:szCs w:val="22"/>
        </w:rPr>
        <w:t xml:space="preserve">Consistent processes applied to every claim are the foundation of fraud prevention. When all claims are documented thoroughly, investigated promptly, and managed actively, fraudulent claims are difficult to sustain. Selective investigation based on suspicion alone can create legal exposure and damage employee relations.</w:t>
      </w:r>
    </w:p>
    <w:p>
      <w:pPr>
        <w:spacing w:after="160"/>
      </w:pPr>
      <w:r>
        <w:rPr>
          <w:rFonts w:ascii="Arial" w:cs="Arial" w:eastAsia="Arial" w:hAnsi="Arial"/>
          <w:b w:val="false"/>
          <w:bCs w:val="false"/>
          <w:i w:val="false"/>
          <w:iCs w:val="false"/>
          <w:color w:val="333333"/>
          <w:sz w:val="22"/>
          <w:szCs w:val="22"/>
        </w:rPr>
        <w:t xml:space="preserve">Maintain a drug-free workplace program with clear testing protocols. Conduct thorough pre-employment screening. Train supervisors to document all incidents consistently, regardless of severity. Foster a workplace culture where safety is valued and legitimate injuries are treated with compassion, so employees do not feel the need to exaggerate in order to receive care.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60"/>
        <w:gridCol w:w="9300"/>
      </w:tblGrid>
      <w:tr>
        <w:tc>
          <w:tcPr>
            <w:tcW w:type="dxa" w:w="60"/>
            <w:tcBorders>
              <w:top w:val="none" w:sz="0"/>
              <w:left w:val="none" w:sz="0"/>
              <w:bottom w:val="none" w:sz="0"/>
              <w:right w:val="none" w:sz="0"/>
            </w:tcBorders>
            <w:shd w:fill="C5972C" w:val="clear"/>
          </w:tcPr>
          <w:p/>
        </w:tc>
        <w:tc>
          <w:tcPr>
            <w:tcW w:type="dxa" w:w="9300"/>
            <w:tcBorders>
              <w:top w:val="none" w:sz="0"/>
              <w:left w:val="none" w:sz="0"/>
              <w:bottom w:val="none" w:sz="0"/>
              <w:right w:val="none" w:sz="0"/>
            </w:tcBorders>
            <w:shd w:fill="FBF4E8" w:val="clear"/>
            <w:tcMar>
              <w:top w:type="dxa" w:w="100"/>
              <w:left w:type="dxa" w:w="160"/>
              <w:bottom w:type="dxa" w:w="100"/>
              <w:right w:type="dxa" w:w="160"/>
            </w:tcMar>
          </w:tcPr>
          <w:p>
            <w:pPr>
              <w:spacing w:after="0"/>
            </w:pPr>
            <w:r>
              <w:rPr>
                <w:rFonts w:ascii="Arial" w:cs="Arial" w:eastAsia="Arial" w:hAnsi="Arial"/>
                <w:b/>
                <w:bCs/>
                <w:color w:val="1B2A4A"/>
                <w:sz w:val="20"/>
                <w:szCs w:val="20"/>
              </w:rPr>
              <w:t xml:space="preserve">Important: </w:t>
            </w:r>
            <w:r>
              <w:rPr>
                <w:rFonts w:ascii="Arial" w:cs="Arial" w:eastAsia="Arial" w:hAnsi="Arial"/>
                <w:color w:val="333333"/>
                <w:sz w:val="20"/>
                <w:szCs w:val="20"/>
              </w:rPr>
              <w:t xml:space="preserve">Never accuse an employee of fraud without substantial evidence. Report suspicious claims to your insurance carrier’s Special Investigation Unit (SIU) and let trained investigators handle the assessment. Premature accusations expose your company to retaliation claims and damage workplace trust.</w:t>
            </w:r>
          </w:p>
        </w:tc>
      </w:tr>
    </w:tbl>
    <w:p>
      <w:r>
        <w:br w:type="pag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480"/>
        <w:gridCol w:w="8880"/>
      </w:tblGrid>
      <w:tr>
        <w:tc>
          <w:tcPr>
            <w:tcW w:type="dxa" w:w="480"/>
            <w:tcBorders>
              <w:top w:val="none" w:sz="0"/>
              <w:left w:val="none" w:sz="0"/>
              <w:bottom w:val="none" w:sz="0"/>
              <w:right w:val="none" w:sz="0"/>
            </w:tcBorders>
            <w:shd w:fill="1B2A4A" w:val="clear"/>
            <w:tcMar>
              <w:top w:type="dxa" w:w="60"/>
              <w:left w:type="dxa" w:w="100"/>
              <w:bottom w:type="dxa" w:w="60"/>
              <w:right w:type="dxa" w:w="100"/>
            </w:tcMar>
            <w:vAlign w:val="center"/>
          </w:tcPr>
          <w:p>
            <w:pPr>
              <w:jc w:val="center"/>
            </w:pPr>
            <w:r>
              <w:rPr>
                <w:rFonts w:ascii="Arial" w:cs="Arial" w:eastAsia="Arial" w:hAnsi="Arial"/>
                <w:b/>
                <w:bCs/>
                <w:color w:val="FFFFFF"/>
                <w:sz w:val="22"/>
                <w:szCs w:val="22"/>
              </w:rPr>
              <w:t xml:space="preserve">7</w:t>
            </w:r>
          </w:p>
        </w:tc>
        <w:tc>
          <w:tcPr>
            <w:tcW w:type="dxa" w:w="8880"/>
            <w:tcBorders>
              <w:top w:val="none" w:sz="0"/>
              <w:left w:val="none" w:sz="0"/>
              <w:bottom w:val="single" w:color="C5972C" w:sz="4"/>
              <w:right w:val="none" w:sz="0"/>
            </w:tcBorders>
            <w:tcMar>
              <w:top w:type="dxa" w:w="60"/>
              <w:left w:type="dxa" w:w="160"/>
              <w:bottom w:type="dxa" w:w="60"/>
              <w:right w:type="dxa" w:w="100"/>
            </w:tcMar>
          </w:tcPr>
          <w:p>
            <w:r>
              <w:rPr>
                <w:rFonts w:ascii="Arial" w:cs="Arial" w:eastAsia="Arial" w:hAnsi="Arial"/>
                <w:b/>
                <w:bCs/>
                <w:color w:val="1B2A4A"/>
                <w:sz w:val="28"/>
                <w:szCs w:val="28"/>
              </w:rPr>
              <w:t xml:space="preserve">Claims Management Best Practices Summary</w:t>
            </w:r>
          </w:p>
        </w:tc>
      </w:tr>
    </w:tbl>
    <w:p>
      <w:pPr>
        <w:spacing w:before="100" w:after="0"/>
      </w:pPr>
    </w:p>
    <w:p>
      <w:pPr>
        <w:spacing w:after="160"/>
      </w:pPr>
      <w:r>
        <w:rPr>
          <w:rFonts w:ascii="Arial" w:cs="Arial" w:eastAsia="Arial" w:hAnsi="Arial"/>
          <w:b w:val="false"/>
          <w:bCs w:val="false"/>
          <w:i w:val="false"/>
          <w:iCs w:val="false"/>
          <w:color w:val="333333"/>
          <w:sz w:val="22"/>
          <w:szCs w:val="22"/>
        </w:rPr>
        <w:t xml:space="preserve">Effective claims management is not a one-time effort but an ongoing discipline. The following best practices, applied consistently, will reduce your claims costs and improve your EMR over time.</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400"/>
        <w:gridCol w:w="3800"/>
        <w:gridCol w:w="2160"/>
      </w:tblGrid>
      <w:tr>
        <w:tc>
          <w:tcPr>
            <w:tcW w:type="dxa" w:w="34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Practice</w:t>
            </w:r>
          </w:p>
        </w:tc>
        <w:tc>
          <w:tcPr>
            <w:tcW w:type="dxa" w:w="38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Impact</w:t>
            </w:r>
          </w:p>
        </w:tc>
        <w:tc>
          <w:tcPr>
            <w:tcW w:type="dxa" w:w="21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Priority</w:t>
            </w:r>
          </w:p>
        </w:tc>
      </w:tr>
      <w:tr>
        <w:tc>
          <w:tcPr>
            <w:tcW w:type="dxa" w:w="34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Report all injuries same day</w:t>
            </w:r>
          </w:p>
        </w:tc>
        <w:tc>
          <w:tcPr>
            <w:tcW w:type="dxa" w:w="3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Reduces average claim cost 20–40%</w:t>
            </w:r>
          </w:p>
        </w:tc>
        <w:tc>
          <w:tcPr>
            <w:tcW w:type="dxa" w:w="2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Critical</w:t>
            </w:r>
          </w:p>
        </w:tc>
      </w:tr>
      <w:tr>
        <w:tc>
          <w:tcPr>
            <w:tcW w:type="dxa" w:w="34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Establish formal RTW program</w:t>
            </w:r>
          </w:p>
        </w:tc>
        <w:tc>
          <w:tcPr>
            <w:tcW w:type="dxa" w:w="3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Reduces claim duration 30–50%</w:t>
            </w:r>
          </w:p>
        </w:tc>
        <w:tc>
          <w:tcPr>
            <w:tcW w:type="dxa" w:w="2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Critical</w:t>
            </w:r>
          </w:p>
        </w:tc>
      </w:tr>
      <w:tr>
        <w:tc>
          <w:tcPr>
            <w:tcW w:type="dxa" w:w="34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Conduct quarterly claims reviews</w:t>
            </w:r>
          </w:p>
        </w:tc>
        <w:tc>
          <w:tcPr>
            <w:tcW w:type="dxa" w:w="3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Prevents reserve inflation; catches errors</w:t>
            </w:r>
          </w:p>
        </w:tc>
        <w:tc>
          <w:tcPr>
            <w:tcW w:type="dxa" w:w="2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High</w:t>
            </w:r>
          </w:p>
        </w:tc>
      </w:tr>
      <w:tr>
        <w:tc>
          <w:tcPr>
            <w:tcW w:type="dxa" w:w="34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Build occupational medicine relationships</w:t>
            </w:r>
          </w:p>
        </w:tc>
        <w:tc>
          <w:tcPr>
            <w:tcW w:type="dxa" w:w="3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Improves treatment quality and RTW speed</w:t>
            </w:r>
          </w:p>
        </w:tc>
        <w:tc>
          <w:tcPr>
            <w:tcW w:type="dxa" w:w="2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High</w:t>
            </w:r>
          </w:p>
        </w:tc>
      </w:tr>
      <w:tr>
        <w:tc>
          <w:tcPr>
            <w:tcW w:type="dxa" w:w="34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Train supervisors on first response</w:t>
            </w:r>
          </w:p>
        </w:tc>
        <w:tc>
          <w:tcPr>
            <w:tcW w:type="dxa" w:w="3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Ensures consistent, compliant injury handling</w:t>
            </w:r>
          </w:p>
        </w:tc>
        <w:tc>
          <w:tcPr>
            <w:tcW w:type="dxa" w:w="2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High</w:t>
            </w:r>
          </w:p>
        </w:tc>
      </w:tr>
      <w:tr>
        <w:tc>
          <w:tcPr>
            <w:tcW w:type="dxa" w:w="34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Verify EMR worksheet annually</w:t>
            </w:r>
          </w:p>
        </w:tc>
        <w:tc>
          <w:tcPr>
            <w:tcW w:type="dxa" w:w="3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Identifies and corrects data errors</w:t>
            </w:r>
          </w:p>
        </w:tc>
        <w:tc>
          <w:tcPr>
            <w:tcW w:type="dxa" w:w="2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High</w:t>
            </w:r>
          </w:p>
        </w:tc>
      </w:tr>
      <w:tr>
        <w:tc>
          <w:tcPr>
            <w:tcW w:type="dxa" w:w="34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Investigate all incidents within 24 hours</w:t>
            </w:r>
          </w:p>
        </w:tc>
        <w:tc>
          <w:tcPr>
            <w:tcW w:type="dxa" w:w="3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Identifies root causes; strengthens documentation</w:t>
            </w:r>
          </w:p>
        </w:tc>
        <w:tc>
          <w:tcPr>
            <w:tcW w:type="dxa" w:w="2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Medium</w:t>
            </w:r>
          </w:p>
        </w:tc>
      </w:tr>
      <w:tr>
        <w:tc>
          <w:tcPr>
            <w:tcW w:type="dxa" w:w="34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Track leading indicators (near-misses)</w:t>
            </w:r>
          </w:p>
        </w:tc>
        <w:tc>
          <w:tcPr>
            <w:tcW w:type="dxa" w:w="3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Prevents future claims from occurring</w:t>
            </w:r>
          </w:p>
        </w:tc>
        <w:tc>
          <w:tcPr>
            <w:tcW w:type="dxa" w:w="2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Medium</w:t>
            </w:r>
          </w:p>
        </w:tc>
      </w:tr>
      <w:tr>
        <w:tc>
          <w:tcPr>
            <w:tcW w:type="dxa" w:w="34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Monitor medical treatment appropriateness</w:t>
            </w:r>
          </w:p>
        </w:tc>
        <w:tc>
          <w:tcPr>
            <w:tcW w:type="dxa" w:w="38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Controls fastest-growing cost component</w:t>
            </w:r>
          </w:p>
        </w:tc>
        <w:tc>
          <w:tcPr>
            <w:tcW w:type="dxa" w:w="2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Medium</w:t>
            </w:r>
          </w:p>
        </w:tc>
      </w:tr>
      <w:tr>
        <w:tc>
          <w:tcPr>
            <w:tcW w:type="dxa" w:w="34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Maintain fraud awareness training</w:t>
            </w:r>
          </w:p>
        </w:tc>
        <w:tc>
          <w:tcPr>
            <w:tcW w:type="dxa" w:w="38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Deters exaggerated claims; protects culture</w:t>
            </w:r>
          </w:p>
        </w:tc>
        <w:tc>
          <w:tcPr>
            <w:tcW w:type="dxa" w:w="2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Medium</w:t>
            </w:r>
          </w:p>
        </w:tc>
      </w:tr>
    </w:tbl>
    <w:p>
      <w:pPr>
        <w:spacing w:before="120" w:after="0"/>
      </w:pPr>
    </w:p>
    <w:p>
      <w:pPr>
        <w:pStyle w:val="Heading3"/>
      </w:pPr>
      <w:r>
        <w:rPr>
          <w:b/>
          <w:bCs/>
        </w:rPr>
        <w:t xml:space="preserve">Annual Claims Management Calendar</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8160"/>
      </w:tblGrid>
      <w:tr>
        <w:tc>
          <w:tcPr>
            <w:tcW w:type="dxa" w:w="120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Quarter</w:t>
            </w:r>
          </w:p>
        </w:tc>
        <w:tc>
          <w:tcPr>
            <w:tcW w:type="dxa" w:w="8160"/>
            <w:tcBorders>
              <w:top w:val="single" w:color="E0E0E0" w:sz="1"/>
              <w:left w:val="single" w:color="E0E0E0" w:sz="1"/>
              <w:bottom w:val="single" w:color="E0E0E0" w:sz="1"/>
              <w:right w:val="single" w:color="E0E0E0" w:sz="1"/>
            </w:tcBorders>
            <w:shd w:fill="1B2A4A" w:val="clear"/>
            <w:tcMar>
              <w:top w:type="dxa" w:w="80"/>
              <w:left w:type="dxa" w:w="120"/>
              <w:bottom w:type="dxa" w:w="80"/>
              <w:right w:type="dxa" w:w="120"/>
            </w:tcMar>
          </w:tcPr>
          <w:p>
            <w:pPr>
              <w:jc w:val="center"/>
            </w:pPr>
            <w:r>
              <w:rPr>
                <w:rFonts w:ascii="Arial" w:cs="Arial" w:eastAsia="Arial" w:hAnsi="Arial"/>
                <w:b/>
                <w:bCs/>
                <w:color w:val="FFFFFF"/>
                <w:sz w:val="18"/>
                <w:szCs w:val="18"/>
              </w:rPr>
              <w:t xml:space="preserve">Actions</w:t>
            </w:r>
          </w:p>
        </w:tc>
      </w:tr>
      <w:tr>
        <w:tc>
          <w:tcPr>
            <w:tcW w:type="dxa" w:w="1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Q1</w:t>
            </w:r>
          </w:p>
        </w:tc>
        <w:tc>
          <w:tcPr>
            <w:tcW w:type="dxa" w:w="8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Set claims management goals for the year; review prior year EMR worksheet; schedule carrier claims reviews; update RTW modified-duty library</w:t>
            </w:r>
          </w:p>
        </w:tc>
      </w:tr>
      <w:tr>
        <w:tc>
          <w:tcPr>
            <w:tcW w:type="dxa" w:w="1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Q2</w:t>
            </w:r>
          </w:p>
        </w:tc>
        <w:tc>
          <w:tcPr>
            <w:tcW w:type="dxa" w:w="8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Conduct mid-year claims review with carrier; assess reserve adequacy on all open claims; verify injury reporting compliance; refresh supervisor training</w:t>
            </w:r>
          </w:p>
        </w:tc>
      </w:tr>
      <w:tr>
        <w:tc>
          <w:tcPr>
            <w:tcW w:type="dxa" w:w="120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Q3</w:t>
            </w:r>
          </w:p>
        </w:tc>
        <w:tc>
          <w:tcPr>
            <w:tcW w:type="dxa" w:w="8160"/>
            <w:tcBorders>
              <w:top w:val="single" w:color="E0E0E0" w:sz="1"/>
              <w:left w:val="single" w:color="E0E0E0" w:sz="1"/>
              <w:bottom w:val="single" w:color="E0E0E0" w:sz="1"/>
              <w:right w:val="single" w:color="E0E0E0" w:sz="1"/>
            </w:tcBorders>
            <w:shd w:fill="FBF4E8" w:val="clear"/>
            <w:tcMar>
              <w:top w:type="dxa" w:w="80"/>
              <w:left w:type="dxa" w:w="120"/>
              <w:bottom w:type="dxa" w:w="80"/>
              <w:right w:type="dxa" w:w="120"/>
            </w:tcMar>
          </w:tcPr>
          <w:p>
            <w:r>
              <w:rPr>
                <w:rFonts w:ascii="Arial" w:cs="Arial" w:eastAsia="Arial" w:hAnsi="Arial"/>
                <w:color w:val="333333"/>
                <w:sz w:val="18"/>
                <w:szCs w:val="18"/>
              </w:rPr>
              <w:t xml:space="preserve">Request preliminary loss runs for upcoming renewal; project next year’s EMR; identify claims for closure push; review medical provider performance</w:t>
            </w:r>
          </w:p>
        </w:tc>
      </w:tr>
      <w:tr>
        <w:tc>
          <w:tcPr>
            <w:tcW w:type="dxa" w:w="120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Q4</w:t>
            </w:r>
          </w:p>
        </w:tc>
        <w:tc>
          <w:tcPr>
            <w:tcW w:type="dxa" w:w="8160"/>
            <w:tcBorders>
              <w:top w:val="single" w:color="E0E0E0" w:sz="1"/>
              <w:left w:val="single" w:color="E0E0E0" w:sz="1"/>
              <w:bottom w:val="single" w:color="E0E0E0" w:sz="1"/>
              <w:right w:val="single" w:color="E0E0E0" w:sz="1"/>
            </w:tcBorders>
            <w:shd w:fill="FFFFFF" w:val="clear"/>
            <w:tcMar>
              <w:top w:type="dxa" w:w="80"/>
              <w:left w:type="dxa" w:w="120"/>
              <w:bottom w:type="dxa" w:w="80"/>
              <w:right w:type="dxa" w:w="120"/>
            </w:tcMar>
          </w:tcPr>
          <w:p>
            <w:r>
              <w:rPr>
                <w:rFonts w:ascii="Arial" w:cs="Arial" w:eastAsia="Arial" w:hAnsi="Arial"/>
                <w:color w:val="333333"/>
                <w:sz w:val="18"/>
                <w:szCs w:val="18"/>
              </w:rPr>
              <w:t xml:space="preserve">Final pre-renewal claims review; challenge any reserve discrepancies; submit EMR corrections if needed; document lessons learned for the year</w:t>
            </w:r>
          </w:p>
        </w:tc>
      </w:tr>
    </w:tbl>
    <w:p>
      <w:r>
        <w:br w:type="page"/>
      </w:r>
    </w:p>
    <w:p>
      <w:pPr>
        <w:spacing w:before="200" w:after="0"/>
      </w:pPr>
    </w:p>
    <w:p>
      <w:pPr>
        <w:pBdr>
          <w:bottom w:val="single" w:color="C5972C" w:sz="6" w:space="1"/>
        </w:pBdr>
        <w:spacing w:before="80" w:after="80"/>
      </w:pPr>
    </w:p>
    <w:p>
      <w:pPr>
        <w:spacing w:before="100" w:after="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5972C" w:sz="4"/>
              <w:left w:val="none" w:sz="0"/>
              <w:bottom w:val="single" w:color="C5972C" w:sz="4"/>
              <w:right w:val="none" w:sz="0"/>
            </w:tcBorders>
            <w:shd w:fill="FBF4E8" w:val="clear"/>
            <w:tcMar>
              <w:top w:type="dxa" w:w="200"/>
              <w:left w:type="dxa" w:w="200"/>
              <w:bottom w:type="dxa" w:w="200"/>
              <w:right w:type="dxa" w:w="200"/>
            </w:tcMar>
          </w:tcPr>
          <w:p>
            <w:pPr>
              <w:spacing w:after="120"/>
            </w:pPr>
            <w:r>
              <w:rPr>
                <w:rFonts w:ascii="Arial" w:cs="Arial" w:eastAsia="Arial" w:hAnsi="Arial"/>
                <w:b/>
                <w:bCs/>
                <w:color w:val="1B2A4A"/>
                <w:sz w:val="28"/>
                <w:szCs w:val="28"/>
              </w:rPr>
              <w:t xml:space="preserve">Need Help Managing Your Claims?</w:t>
            </w:r>
          </w:p>
          <w:p>
            <w:pPr>
              <w:spacing w:after="120"/>
            </w:pPr>
            <w:r>
              <w:rPr>
                <w:rFonts w:ascii="Arial" w:cs="Arial" w:eastAsia="Arial" w:hAnsi="Arial"/>
                <w:color w:val="333333"/>
                <w:sz w:val="21"/>
                <w:szCs w:val="21"/>
              </w:rPr>
              <w:t xml:space="preserve">First Underwriters Insurance Brokers provides comprehensive claims management consulting for Pacific Northwest businesses. Our team coordinates with your carrier, reviews reserves, identifies errors, and develops return-to-work programs tailored to your operations.</w:t>
            </w:r>
          </w:p>
          <w:p>
            <w:r>
              <w:rPr>
                <w:rFonts w:ascii="Arial" w:cs="Arial" w:eastAsia="Arial" w:hAnsi="Arial"/>
                <w:b/>
                <w:bCs/>
                <w:color w:val="C5972C"/>
                <w:sz w:val="21"/>
                <w:szCs w:val="21"/>
              </w:rPr>
              <w:t xml:space="preserve">Contact us: </w:t>
            </w:r>
            <w:r>
              <w:rPr>
                <w:rFonts w:ascii="Arial" w:cs="Arial" w:eastAsia="Arial" w:hAnsi="Arial"/>
                <w:color w:val="333333"/>
                <w:sz w:val="21"/>
                <w:szCs w:val="21"/>
              </w:rPr>
              <w:t xml:space="preserve">(425) 242-5357  |  info@firstunderwriters.com  |  www.firstunderwriters.com</w:t>
            </w:r>
          </w:p>
        </w:tc>
      </w:tr>
    </w:tbl>
    <w:p>
      <w:pPr>
        <w:spacing w:before="120" w:after="0"/>
      </w:pPr>
    </w:p>
    <w:p>
      <w:pPr>
        <w:jc w:val="center"/>
      </w:pPr>
      <w:r>
        <w:rPr>
          <w:rFonts w:ascii="Arial" w:cs="Arial" w:eastAsia="Arial" w:hAnsi="Arial"/>
          <w:i/>
          <w:iCs/>
          <w:color w:val="999999"/>
          <w:sz w:val="16"/>
          <w:szCs w:val="16"/>
        </w:rPr>
        <w:t xml:space="preserve">© 2026 First Underwriters Insurance Brokers. This guide is provided for informational purposes only and does not constitute legal, financial, or insurance advice. Consult with your insurance broker for guidance specific to your situation.</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5972C" w:sz="2" w:space="4"/>
      </w:pBdr>
      <w:tabs>
        <w:tab w:val="right" w:pos="9026"/>
      </w:tabs>
    </w:pPr>
    <w:r>
      <w:rPr>
        <w:rFonts w:ascii="Arial" w:cs="Arial" w:eastAsia="Arial" w:hAnsi="Arial"/>
        <w:color w:val="444444"/>
        <w:sz w:val="14"/>
        <w:szCs w:val="14"/>
      </w:rPr>
      <w:t xml:space="preserve">(425) 242-5357  |  info@firstunderwriters.com</w:t>
    </w:r>
    <w:r>
      <w:rPr>
        <w:rFonts w:ascii="Arial" w:cs="Arial" w:eastAsia="Arial" w:hAnsi="Arial"/>
        <w:color w:val="444444"/>
        <w:sz w:val="14"/>
        <w:szCs w:val="14"/>
      </w:rPr>
      <w:t xml:space="preserve">	Page </w:t>
    </w:r>
    <w:r>
      <w:rPr>
        <w:rFonts w:ascii="Arial" w:cs="Arial" w:eastAsia="Arial" w:hAnsi="Arial"/>
        <w:color w:val="444444"/>
        <w:sz w:val="14"/>
        <w:szCs w:val="14"/>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C5972C" w:sz="4" w:space="4"/>
      </w:pBdr>
      <w:tabs>
        <w:tab w:val="right" w:pos="9026"/>
      </w:tabs>
    </w:pPr>
    <w:r>
      <w:rPr>
        <w:rFonts w:ascii="Arial" w:cs="Arial" w:eastAsia="Arial" w:hAnsi="Arial"/>
        <w:b/>
        <w:bCs/>
        <w:color w:val="1B2A4A"/>
        <w:sz w:val="16"/>
        <w:szCs w:val="16"/>
      </w:rPr>
      <w:t xml:space="preserve">Claims Management Guide</w:t>
    </w:r>
    <w:r>
      <w:rPr>
        <w:rFonts w:ascii="Arial" w:cs="Arial" w:eastAsia="Arial" w:hAnsi="Arial"/>
        <w:color w:val="444444"/>
        <w:sz w:val="16"/>
        <w:szCs w:val="16"/>
      </w:rPr>
      <w:t xml:space="preserve">	First Underwriters Insurance Brokers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1080" w:hanging="360"/>
      </w:pPr>
    </w:lvl>
  </w:abstractNum>
  <w:abstractNum w:abstractNumId="4" w15:restartNumberingAfterBreak="0">
    <w:multiLevelType w:val="hybridMultilevel"/>
    <w:lvl w:ilvl="0" w15:tentative="1">
      <w:start w:val="1"/>
      <w:numFmt w:val="decimal"/>
      <w:lvlText w:val="%1."/>
      <w:lvlJc w:val="left"/>
      <w:pPr>
        <w:ind w:left="72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240" w:after="160"/>
      <w:outlineLvl w:val="0"/>
    </w:pPr>
    <w:rPr>
      <w:rFonts w:ascii="Arial" w:cs="Arial" w:eastAsia="Arial" w:hAnsi="Arial"/>
      <w:b/>
      <w:bCs/>
      <w:color w:val="1B2A4A"/>
      <w:sz w:val="32"/>
      <w:szCs w:val="32"/>
    </w:rPr>
  </w:style>
  <w:style w:type="paragraph" w:styleId="Heading2">
    <w:name w:val="Heading 2"/>
    <w:basedOn w:val="Normal"/>
    <w:next w:val="Normal"/>
    <w:qFormat/>
    <w:pPr>
      <w:spacing w:before="200" w:after="120"/>
      <w:outlineLvl w:val="1"/>
    </w:pPr>
    <w:rPr>
      <w:rFonts w:ascii="Arial" w:cs="Arial" w:eastAsia="Arial" w:hAnsi="Arial"/>
      <w:b/>
      <w:bCs/>
      <w:color w:val="1B2A4A"/>
      <w:sz w:val="26"/>
      <w:szCs w:val="26"/>
    </w:rPr>
  </w:style>
  <w:style w:type="paragraph" w:styleId="Heading3">
    <w:name w:val="Heading 3"/>
    <w:basedOn w:val="Normal"/>
    <w:next w:val="Normal"/>
    <w:qFormat/>
    <w:pPr>
      <w:spacing w:before="160" w:after="80"/>
      <w:outlineLvl w:val="2"/>
    </w:pPr>
    <w:rPr>
      <w:rFonts w:ascii="Arial" w:cs="Arial" w:eastAsia="Arial" w:hAnsi="Arial"/>
      <w:b/>
      <w:bCs/>
      <w:color w:val="2C3E5A"/>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2026-02-16T19:52:13.454Z</dcterms:created>
  <dcterms:modified xsi:type="dcterms:W3CDTF">2026-02-16T19:52:13.455Z</dcterms:modified>
</cp:coreProperties>
</file>

<file path=docProps/custom.xml><?xml version="1.0" encoding="utf-8"?>
<Properties xmlns="http://schemas.openxmlformats.org/officeDocument/2006/custom-properties" xmlns:vt="http://schemas.openxmlformats.org/officeDocument/2006/docPropsVTypes"/>
</file>