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100" w:hRule="exact"/>
        </w:trPr>
        <w:tc>
          <w:tcPr>
            <w:tcW w:type="dxa" w:w="9360"/>
            <w:tcBorders>
              <w:top w:val="none" w:color="FFFFFF" w:sz="0"/>
              <w:left w:val="none" w:color="FFFFFF" w:sz="0"/>
              <w:bottom w:val="none" w:color="FFFFFF" w:sz="0"/>
              <w:right w:val="none" w:color="FFFFFF" w:sz="0"/>
            </w:tcBorders>
            <w:shd w:fill="C5972C" w:val="clear"/>
          </w:tcPr>
          <w:p/>
        </w:tc>
      </w:tr>
    </w:tbl>
    <w:p>
      <w:pPr>
        <w:spacing w:after="80"/>
      </w:pPr>
    </w:p>
    <w:p>
      <w:pPr>
        <w:spacing w:after="20"/>
      </w:pPr>
      <w:r>
        <w:rPr>
          <w:rFonts w:ascii="Arial" w:cs="Arial" w:eastAsia="Arial" w:hAnsi="Arial"/>
          <w:b/>
          <w:bCs/>
          <w:color w:val="1B2A4A"/>
          <w:sz w:val="40"/>
          <w:szCs w:val="40"/>
        </w:rPr>
        <w:t xml:space="preserve">Telematics Policy Sample</w:t>
      </w:r>
    </w:p>
    <w:p>
      <w:pPr>
        <w:spacing w:after="20"/>
      </w:pPr>
      <w:r>
        <w:rPr>
          <w:rFonts w:ascii="Arial" w:cs="Arial" w:eastAsia="Arial" w:hAnsi="Arial"/>
          <w:color w:val="C5972C"/>
          <w:sz w:val="22"/>
          <w:szCs w:val="22"/>
        </w:rPr>
        <w:t xml:space="preserve">Employee Acknowledgment &amp; Consent Form</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24" w:hRule="exact"/>
        </w:trPr>
        <w:tc>
          <w:tcPr>
            <w:tcW w:type="dxa" w:w="9360"/>
            <w:tcBorders>
              <w:top w:val="none" w:color="FFFFFF" w:sz="0"/>
              <w:left w:val="none" w:color="FFFFFF" w:sz="0"/>
              <w:bottom w:val="none" w:color="FFFFFF" w:sz="0"/>
              <w:right w:val="none" w:color="FFFFFF" w:sz="0"/>
            </w:tcBorders>
            <w:shd w:fill="1B2A4A" w:val="clear"/>
          </w:tcPr>
          <w:p/>
        </w:tc>
      </w:tr>
    </w:tbl>
    <w:p>
      <w:pPr>
        <w:spacing w:after="60"/>
      </w:pPr>
    </w:p>
    <w:p>
      <w:pPr>
        <w:spacing w:after="120" w:line="276"/>
      </w:pPr>
      <w:r>
        <w:rPr>
          <w:rFonts w:ascii="Arial" w:cs="Arial" w:eastAsia="Arial" w:hAnsi="Arial"/>
          <w:b w:val="false"/>
          <w:bCs w:val="false"/>
          <w:i w:val="false"/>
          <w:iCs w:val="false"/>
          <w:color w:val="333333"/>
          <w:sz w:val="20"/>
          <w:szCs w:val="20"/>
        </w:rPr>
        <w:t xml:space="preserve">This sample telematics policy provides a customizable framework for fleet operators implementing GPS tracking and telematics monitoring systems. It establishes clear expectations for employees, documents consent, and supports your insurance program compliance. Adapt all bracketed fields to your organization before distributing.</w:t>
      </w:r>
    </w:p>
    <w:p>
      <w:pPr>
        <w:spacing w:after="4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2280"/>
        <w:gridCol w:w="2400"/>
        <w:gridCol w:w="2280"/>
      </w:tblGrid>
      <w:tr>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Company Name:</w:t>
            </w:r>
          </w:p>
        </w:tc>
        <w:tc>
          <w:tcPr>
            <w:tcW w:type="dxa" w:w="228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[Company Name]</w:t>
            </w:r>
          </w:p>
        </w:tc>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Policy Effective Date:</w:t>
            </w:r>
          </w:p>
        </w:tc>
        <w:tc>
          <w:tcPr>
            <w:tcW w:type="dxa" w:w="228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[Date]</w:t>
            </w:r>
          </w:p>
        </w:tc>
      </w:tr>
      <w:tr>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Policy Number:</w:t>
            </w:r>
          </w:p>
        </w:tc>
        <w:tc>
          <w:tcPr>
            <w:tcW w:type="dxa" w:w="228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[TEL-001]</w:t>
            </w:r>
          </w:p>
        </w:tc>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Revision Date:</w:t>
            </w:r>
          </w:p>
        </w:tc>
        <w:tc>
          <w:tcPr>
            <w:tcW w:type="dxa" w:w="228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[Date]</w:t>
            </w:r>
          </w:p>
        </w:tc>
      </w:tr>
      <w:tr>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Approved By:</w:t>
            </w:r>
          </w:p>
        </w:tc>
        <w:tc>
          <w:tcPr>
            <w:tcW w:type="dxa" w:w="228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[Name / Title]</w:t>
            </w:r>
          </w:p>
        </w:tc>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Department:</w:t>
            </w:r>
          </w:p>
        </w:tc>
        <w:tc>
          <w:tcPr>
            <w:tcW w:type="dxa" w:w="228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[Fleet Ops / Safety]</w:t>
            </w:r>
          </w:p>
        </w:tc>
      </w:tr>
    </w:tbl>
    <w:p>
      <w:pPr>
        <w:spacing w:after="80"/>
      </w:pPr>
    </w:p>
    <w:p>
      <w:pPr>
        <w:spacing w:before="280" w:after="100"/>
      </w:pPr>
      <w:r>
        <w:rPr>
          <w:rFonts w:ascii="Arial" w:cs="Arial" w:eastAsia="Arial" w:hAnsi="Arial"/>
          <w:b/>
          <w:bCs/>
          <w:color w:val="1B2A4A"/>
          <w:sz w:val="24"/>
          <w:szCs w:val="24"/>
        </w:rPr>
        <w:t xml:space="preserve">1. Purpose &amp; Scope</w:t>
      </w:r>
    </w:p>
    <w:p>
      <w:pPr>
        <w:spacing w:after="120" w:line="276"/>
      </w:pPr>
      <w:r>
        <w:rPr>
          <w:rFonts w:ascii="Arial" w:cs="Arial" w:eastAsia="Arial" w:hAnsi="Arial"/>
          <w:b w:val="false"/>
          <w:bCs w:val="false"/>
          <w:i w:val="false"/>
          <w:iCs w:val="false"/>
          <w:color w:val="333333"/>
          <w:sz w:val="20"/>
          <w:szCs w:val="20"/>
        </w:rPr>
        <w:t xml:space="preserve">This policy establishes the guidelines, expectations, and procedures for the use of telematics and GPS tracking technology in all company-owned, leased, or operated vehicles. It applies to all employees, contractors, and temporary workers who operate company vehicles or whose personal vehicles are equipped with company-provided telematics devices.</w:t>
      </w:r>
    </w:p>
    <w:p>
      <w:pPr>
        <w:spacing w:after="120" w:line="276"/>
      </w:pPr>
      <w:r>
        <w:rPr>
          <w:rFonts w:ascii="Arial" w:cs="Arial" w:eastAsia="Arial" w:hAnsi="Arial"/>
          <w:b w:val="false"/>
          <w:bCs w:val="false"/>
          <w:i w:val="false"/>
          <w:iCs w:val="false"/>
          <w:color w:val="333333"/>
          <w:sz w:val="20"/>
          <w:szCs w:val="20"/>
        </w:rPr>
        <w:t xml:space="preserve">The telematics system is implemented to:</w:t>
      </w:r>
    </w:p>
    <w:p>
      <w:pPr>
        <w:pStyle w:val="ListParagraph"/>
        <w:numPr>
          <w:ilvl w:val="0"/>
          <w:numId w:val="2"/>
        </w:numPr>
        <w:spacing w:after="60" w:line="276"/>
      </w:pPr>
      <w:r>
        <w:rPr>
          <w:rFonts w:ascii="Arial" w:cs="Arial" w:eastAsia="Arial" w:hAnsi="Arial"/>
          <w:color w:val="333333"/>
          <w:sz w:val="20"/>
          <w:szCs w:val="20"/>
        </w:rPr>
        <w:t xml:space="preserve">Promote the safety of our drivers, passengers, and the general public</w:t>
      </w:r>
    </w:p>
    <w:p>
      <w:pPr>
        <w:pStyle w:val="ListParagraph"/>
        <w:numPr>
          <w:ilvl w:val="0"/>
          <w:numId w:val="2"/>
        </w:numPr>
        <w:spacing w:after="60" w:line="276"/>
      </w:pPr>
      <w:r>
        <w:rPr>
          <w:rFonts w:ascii="Arial" w:cs="Arial" w:eastAsia="Arial" w:hAnsi="Arial"/>
          <w:color w:val="333333"/>
          <w:sz w:val="20"/>
          <w:szCs w:val="20"/>
        </w:rPr>
        <w:t xml:space="preserve">Reduce accidents, injuries, and vehicle damage through proactive behavior monitoring</w:t>
      </w:r>
    </w:p>
    <w:p>
      <w:pPr>
        <w:pStyle w:val="ListParagraph"/>
        <w:numPr>
          <w:ilvl w:val="0"/>
          <w:numId w:val="2"/>
        </w:numPr>
        <w:spacing w:after="60" w:line="276"/>
      </w:pPr>
      <w:r>
        <w:rPr>
          <w:rFonts w:ascii="Arial" w:cs="Arial" w:eastAsia="Arial" w:hAnsi="Arial"/>
          <w:color w:val="333333"/>
          <w:sz w:val="20"/>
          <w:szCs w:val="20"/>
        </w:rPr>
        <w:t xml:space="preserve">Support compliance with DOT, FMCSA, and Hours of Service (HOS) regulations</w:t>
      </w:r>
    </w:p>
    <w:p>
      <w:pPr>
        <w:pStyle w:val="ListParagraph"/>
        <w:numPr>
          <w:ilvl w:val="0"/>
          <w:numId w:val="2"/>
        </w:numPr>
        <w:spacing w:after="60" w:line="276"/>
      </w:pPr>
      <w:r>
        <w:rPr>
          <w:rFonts w:ascii="Arial" w:cs="Arial" w:eastAsia="Arial" w:hAnsi="Arial"/>
          <w:color w:val="333333"/>
          <w:sz w:val="20"/>
          <w:szCs w:val="20"/>
        </w:rPr>
        <w:t xml:space="preserve">Optimize fleet operations including routing, fuel management, and maintenance scheduling</w:t>
      </w:r>
    </w:p>
    <w:p>
      <w:pPr>
        <w:pStyle w:val="ListParagraph"/>
        <w:numPr>
          <w:ilvl w:val="0"/>
          <w:numId w:val="2"/>
        </w:numPr>
        <w:spacing w:after="60" w:line="276"/>
      </w:pPr>
      <w:r>
        <w:rPr>
          <w:rFonts w:ascii="Arial" w:cs="Arial" w:eastAsia="Arial" w:hAnsi="Arial"/>
          <w:color w:val="333333"/>
          <w:sz w:val="20"/>
          <w:szCs w:val="20"/>
        </w:rPr>
        <w:t xml:space="preserve">Provide objective data for insurance underwriting, claims documentation, and premium optimization</w:t>
      </w:r>
    </w:p>
    <w:p>
      <w:pPr>
        <w:pStyle w:val="ListParagraph"/>
        <w:numPr>
          <w:ilvl w:val="0"/>
          <w:numId w:val="2"/>
        </w:numPr>
        <w:spacing w:after="100" w:line="276"/>
      </w:pPr>
      <w:r>
        <w:rPr>
          <w:rFonts w:ascii="Arial" w:cs="Arial" w:eastAsia="Arial" w:hAnsi="Arial"/>
          <w:color w:val="333333"/>
          <w:sz w:val="20"/>
          <w:szCs w:val="20"/>
        </w:rPr>
        <w:t xml:space="preserve">Protect company assets and verify vehicle utilization</w:t>
      </w:r>
    </w:p>
    <w:p>
      <w:r>
        <w:br w:type="page"/>
      </w:r>
    </w:p>
    <w:p>
      <w:pPr>
        <w:spacing w:before="280" w:after="100"/>
      </w:pPr>
      <w:r>
        <w:rPr>
          <w:rFonts w:ascii="Arial" w:cs="Arial" w:eastAsia="Arial" w:hAnsi="Arial"/>
          <w:b/>
          <w:bCs/>
          <w:color w:val="1B2A4A"/>
          <w:sz w:val="24"/>
          <w:szCs w:val="24"/>
        </w:rPr>
        <w:t xml:space="preserve">2. Data Collected by Telematics Systems</w:t>
      </w:r>
    </w:p>
    <w:p>
      <w:pPr>
        <w:spacing w:after="120" w:line="276"/>
      </w:pPr>
      <w:r>
        <w:rPr>
          <w:rFonts w:ascii="Arial" w:cs="Arial" w:eastAsia="Arial" w:hAnsi="Arial"/>
          <w:b w:val="false"/>
          <w:bCs w:val="false"/>
          <w:i w:val="false"/>
          <w:iCs w:val="false"/>
          <w:color w:val="333333"/>
          <w:sz w:val="20"/>
          <w:szCs w:val="20"/>
        </w:rPr>
        <w:t xml:space="preserve">The company's telematics system may collect and transmit the following types of data from equipped vehicles: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c>
          <w:tcPr>
            <w:tcW w:type="dxa" w:w="2800"/>
            <w:tcBorders>
              <w:top w:val="single" w:color="E0E0E0" w:sz="1"/>
              <w:left w:val="single" w:color="E0E0E0" w:sz="1"/>
              <w:bottom w:val="single" w:color="E0E0E0" w:sz="1"/>
              <w:right w:val="single" w:color="E0E0E0" w:sz="1"/>
            </w:tcBorders>
            <w:shd w:fill="1B2A4A" w:val="clear"/>
            <w:tcMar>
              <w:top w:type="dxa" w:w="60"/>
              <w:left w:type="dxa" w:w="120"/>
              <w:bottom w:type="dxa" w:w="60"/>
              <w:right w:type="dxa" w:w="120"/>
            </w:tcMar>
            <w:vAlign w:val="center"/>
          </w:tcPr>
          <w:p>
            <w:r>
              <w:rPr>
                <w:rFonts w:ascii="Arial" w:cs="Arial" w:eastAsia="Arial" w:hAnsi="Arial"/>
                <w:b/>
                <w:bCs/>
                <w:color w:val="FFFFFF"/>
                <w:sz w:val="20"/>
                <w:szCs w:val="20"/>
              </w:rPr>
              <w:t xml:space="preserve">Data Category</w:t>
            </w:r>
          </w:p>
        </w:tc>
        <w:tc>
          <w:tcPr>
            <w:tcW w:type="dxa" w:w="6560"/>
            <w:tcBorders>
              <w:top w:val="single" w:color="E0E0E0" w:sz="1"/>
              <w:left w:val="single" w:color="E0E0E0" w:sz="1"/>
              <w:bottom w:val="single" w:color="E0E0E0" w:sz="1"/>
              <w:right w:val="single" w:color="E0E0E0" w:sz="1"/>
            </w:tcBorders>
            <w:shd w:fill="1B2A4A" w:val="clear"/>
            <w:tcMar>
              <w:top w:type="dxa" w:w="60"/>
              <w:left w:type="dxa" w:w="120"/>
              <w:bottom w:type="dxa" w:w="60"/>
              <w:right w:type="dxa" w:w="120"/>
            </w:tcMar>
            <w:vAlign w:val="center"/>
          </w:tcPr>
          <w:p>
            <w:r>
              <w:rPr>
                <w:rFonts w:ascii="Arial" w:cs="Arial" w:eastAsia="Arial" w:hAnsi="Arial"/>
                <w:b/>
                <w:bCs/>
                <w:color w:val="FFFFFF"/>
                <w:sz w:val="20"/>
                <w:szCs w:val="20"/>
              </w:rPr>
              <w:t xml:space="preserve">Types of Information</w:t>
            </w:r>
          </w:p>
        </w:tc>
      </w:tr>
      <w:t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19"/>
                <w:szCs w:val="19"/>
              </w:rPr>
              <w:t xml:space="preserve">Vehicle Location</w:t>
            </w:r>
          </w:p>
        </w:tc>
        <w:tc>
          <w:tcPr>
            <w:tcW w:type="dxa" w:w="656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color w:val="333333"/>
                <w:sz w:val="19"/>
                <w:szCs w:val="19"/>
              </w:rPr>
              <w:t xml:space="preserve">Real-time GPS coordinates, historical route data, geofence entry/exit, breadcrumb trails</w:t>
            </w:r>
          </w:p>
        </w:tc>
      </w:tr>
      <w:tr>
        <w:tc>
          <w:tcPr>
            <w:tcW w:type="dxa" w:w="2800"/>
            <w:tcBorders>
              <w:top w:val="single" w:color="E0E0E0" w:sz="1"/>
              <w:left w:val="single" w:color="E0E0E0" w:sz="1"/>
              <w:bottom w:val="single" w:color="E0E0E0" w:sz="1"/>
              <w:right w:val="single" w:color="E0E0E0" w:sz="1"/>
            </w:tcBorders>
            <w:shd w:fill="FFFFFF" w:val="clear"/>
            <w:tcMar>
              <w:top w:type="dxa" w:w="60"/>
              <w:left w:type="dxa" w:w="120"/>
              <w:bottom w:type="dxa" w:w="60"/>
              <w:right w:type="dxa" w:w="120"/>
            </w:tcMar>
            <w:vAlign w:val="center"/>
          </w:tcPr>
          <w:p>
            <w:r>
              <w:rPr>
                <w:rFonts w:ascii="Arial" w:cs="Arial" w:eastAsia="Arial" w:hAnsi="Arial"/>
                <w:b/>
                <w:bCs/>
                <w:color w:val="1B2A4A"/>
                <w:sz w:val="19"/>
                <w:szCs w:val="19"/>
              </w:rPr>
              <w:t xml:space="preserve">Driving Behavior</w:t>
            </w:r>
          </w:p>
        </w:tc>
        <w:tc>
          <w:tcPr>
            <w:tcW w:type="dxa" w:w="6560"/>
            <w:tcBorders>
              <w:top w:val="single" w:color="E0E0E0" w:sz="1"/>
              <w:left w:val="single" w:color="E0E0E0" w:sz="1"/>
              <w:bottom w:val="single" w:color="E0E0E0" w:sz="1"/>
              <w:right w:val="single" w:color="E0E0E0" w:sz="1"/>
            </w:tcBorders>
            <w:shd w:fill="FFFFFF" w:val="clear"/>
            <w:tcMar>
              <w:top w:type="dxa" w:w="60"/>
              <w:left w:type="dxa" w:w="120"/>
              <w:bottom w:type="dxa" w:w="60"/>
              <w:right w:type="dxa" w:w="120"/>
            </w:tcMar>
            <w:vAlign w:val="center"/>
          </w:tcPr>
          <w:p>
            <w:r>
              <w:rPr>
                <w:rFonts w:ascii="Arial" w:cs="Arial" w:eastAsia="Arial" w:hAnsi="Arial"/>
                <w:color w:val="333333"/>
                <w:sz w:val="19"/>
                <w:szCs w:val="19"/>
              </w:rPr>
              <w:t xml:space="preserve">Speed, hard braking, rapid acceleration, harsh cornering, seatbelt status, phone use detection</w:t>
            </w:r>
          </w:p>
        </w:tc>
      </w:tr>
      <w:t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19"/>
                <w:szCs w:val="19"/>
              </w:rPr>
              <w:t xml:space="preserve">Vehicle Diagnostics</w:t>
            </w:r>
          </w:p>
        </w:tc>
        <w:tc>
          <w:tcPr>
            <w:tcW w:type="dxa" w:w="656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color w:val="333333"/>
                <w:sz w:val="19"/>
                <w:szCs w:val="19"/>
              </w:rPr>
              <w:t xml:space="preserve">Engine fault codes (DTC), odometer, engine hours, fuel level, battery voltage, tire pressure</w:t>
            </w:r>
          </w:p>
        </w:tc>
      </w:tr>
      <w:tr>
        <w:tc>
          <w:tcPr>
            <w:tcW w:type="dxa" w:w="2800"/>
            <w:tcBorders>
              <w:top w:val="single" w:color="E0E0E0" w:sz="1"/>
              <w:left w:val="single" w:color="E0E0E0" w:sz="1"/>
              <w:bottom w:val="single" w:color="E0E0E0" w:sz="1"/>
              <w:right w:val="single" w:color="E0E0E0" w:sz="1"/>
            </w:tcBorders>
            <w:shd w:fill="FFFFFF" w:val="clear"/>
            <w:tcMar>
              <w:top w:type="dxa" w:w="60"/>
              <w:left w:type="dxa" w:w="120"/>
              <w:bottom w:type="dxa" w:w="60"/>
              <w:right w:type="dxa" w:w="120"/>
            </w:tcMar>
            <w:vAlign w:val="center"/>
          </w:tcPr>
          <w:p>
            <w:r>
              <w:rPr>
                <w:rFonts w:ascii="Arial" w:cs="Arial" w:eastAsia="Arial" w:hAnsi="Arial"/>
                <w:b/>
                <w:bCs/>
                <w:color w:val="1B2A4A"/>
                <w:sz w:val="19"/>
                <w:szCs w:val="19"/>
              </w:rPr>
              <w:t xml:space="preserve">Compliance Data</w:t>
            </w:r>
          </w:p>
        </w:tc>
        <w:tc>
          <w:tcPr>
            <w:tcW w:type="dxa" w:w="6560"/>
            <w:tcBorders>
              <w:top w:val="single" w:color="E0E0E0" w:sz="1"/>
              <w:left w:val="single" w:color="E0E0E0" w:sz="1"/>
              <w:bottom w:val="single" w:color="E0E0E0" w:sz="1"/>
              <w:right w:val="single" w:color="E0E0E0" w:sz="1"/>
            </w:tcBorders>
            <w:shd w:fill="FFFFFF" w:val="clear"/>
            <w:tcMar>
              <w:top w:type="dxa" w:w="60"/>
              <w:left w:type="dxa" w:w="120"/>
              <w:bottom w:type="dxa" w:w="60"/>
              <w:right w:type="dxa" w:w="120"/>
            </w:tcMar>
            <w:vAlign w:val="center"/>
          </w:tcPr>
          <w:p>
            <w:r>
              <w:rPr>
                <w:rFonts w:ascii="Arial" w:cs="Arial" w:eastAsia="Arial" w:hAnsi="Arial"/>
                <w:color w:val="333333"/>
                <w:sz w:val="19"/>
                <w:szCs w:val="19"/>
              </w:rPr>
              <w:t xml:space="preserve">Hours of Service (HOS) logs, ELD records, DVIR submissions, IFTA mileage</w:t>
            </w:r>
          </w:p>
        </w:tc>
      </w:tr>
      <w:t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19"/>
                <w:szCs w:val="19"/>
              </w:rPr>
              <w:t xml:space="preserve">Safety Events</w:t>
            </w:r>
          </w:p>
        </w:tc>
        <w:tc>
          <w:tcPr>
            <w:tcW w:type="dxa" w:w="656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color w:val="333333"/>
                <w:sz w:val="19"/>
                <w:szCs w:val="19"/>
              </w:rPr>
              <w:t xml:space="preserve">Collision detection, dashcam video (forward/driver-facing), AI-flagged events, near-miss incidents</w:t>
            </w:r>
          </w:p>
        </w:tc>
      </w:tr>
      <w:tr>
        <w:tc>
          <w:tcPr>
            <w:tcW w:type="dxa" w:w="2800"/>
            <w:tcBorders>
              <w:top w:val="single" w:color="E0E0E0" w:sz="1"/>
              <w:left w:val="single" w:color="E0E0E0" w:sz="1"/>
              <w:bottom w:val="single" w:color="E0E0E0" w:sz="1"/>
              <w:right w:val="single" w:color="E0E0E0" w:sz="1"/>
            </w:tcBorders>
            <w:shd w:fill="FFFFFF" w:val="clear"/>
            <w:tcMar>
              <w:top w:type="dxa" w:w="60"/>
              <w:left w:type="dxa" w:w="120"/>
              <w:bottom w:type="dxa" w:w="60"/>
              <w:right w:type="dxa" w:w="120"/>
            </w:tcMar>
            <w:vAlign w:val="center"/>
          </w:tcPr>
          <w:p>
            <w:r>
              <w:rPr>
                <w:rFonts w:ascii="Arial" w:cs="Arial" w:eastAsia="Arial" w:hAnsi="Arial"/>
                <w:b/>
                <w:bCs/>
                <w:color w:val="1B2A4A"/>
                <w:sz w:val="19"/>
                <w:szCs w:val="19"/>
              </w:rPr>
              <w:t xml:space="preserve">Operational Metrics</w:t>
            </w:r>
          </w:p>
        </w:tc>
        <w:tc>
          <w:tcPr>
            <w:tcW w:type="dxa" w:w="6560"/>
            <w:tcBorders>
              <w:top w:val="single" w:color="E0E0E0" w:sz="1"/>
              <w:left w:val="single" w:color="E0E0E0" w:sz="1"/>
              <w:bottom w:val="single" w:color="E0E0E0" w:sz="1"/>
              <w:right w:val="single" w:color="E0E0E0" w:sz="1"/>
            </w:tcBorders>
            <w:shd w:fill="FFFFFF" w:val="clear"/>
            <w:tcMar>
              <w:top w:type="dxa" w:w="60"/>
              <w:left w:type="dxa" w:w="120"/>
              <w:bottom w:type="dxa" w:w="60"/>
              <w:right w:type="dxa" w:w="120"/>
            </w:tcMar>
            <w:vAlign w:val="center"/>
          </w:tcPr>
          <w:p>
            <w:r>
              <w:rPr>
                <w:rFonts w:ascii="Arial" w:cs="Arial" w:eastAsia="Arial" w:hAnsi="Arial"/>
                <w:color w:val="333333"/>
                <w:sz w:val="19"/>
                <w:szCs w:val="19"/>
              </w:rPr>
              <w:t xml:space="preserve">Idle time, fuel consumption, PTO usage, stop duration, trip start/end times</w:t>
            </w:r>
          </w:p>
        </w:tc>
      </w:tr>
    </w:tbl>
    <w:p>
      <w:pPr>
        <w:spacing w:after="60"/>
      </w:pPr>
    </w:p>
    <w:p>
      <w:pPr>
        <w:spacing w:after="120" w:line="276"/>
      </w:pPr>
      <w:r>
        <w:rPr>
          <w:rFonts w:ascii="Arial" w:cs="Arial" w:eastAsia="Arial" w:hAnsi="Arial"/>
          <w:b w:val="false"/>
          <w:bCs w:val="false"/>
          <w:i/>
          <w:iCs/>
          <w:color w:val="333333"/>
          <w:sz w:val="20"/>
          <w:szCs w:val="20"/>
        </w:rPr>
        <w:t xml:space="preserve">The company reserves the right to add or modify data collection capabilities as technology evolves, with reasonable notice to affected employees.</w:t>
      </w:r>
    </w:p>
    <w:p>
      <w:pPr>
        <w:spacing w:before="280" w:after="100"/>
      </w:pPr>
      <w:r>
        <w:rPr>
          <w:rFonts w:ascii="Arial" w:cs="Arial" w:eastAsia="Arial" w:hAnsi="Arial"/>
          <w:b/>
          <w:bCs/>
          <w:color w:val="1B2A4A"/>
          <w:sz w:val="24"/>
          <w:szCs w:val="24"/>
        </w:rPr>
        <w:t xml:space="preserve">3. Authorized Use of Telematics Data</w:t>
      </w:r>
    </w:p>
    <w:p>
      <w:pPr>
        <w:spacing w:after="120" w:line="276"/>
      </w:pPr>
      <w:r>
        <w:rPr>
          <w:rFonts w:ascii="Arial" w:cs="Arial" w:eastAsia="Arial" w:hAnsi="Arial"/>
          <w:b w:val="false"/>
          <w:bCs w:val="false"/>
          <w:i w:val="false"/>
          <w:iCs w:val="false"/>
          <w:color w:val="333333"/>
          <w:sz w:val="20"/>
          <w:szCs w:val="20"/>
        </w:rPr>
        <w:t xml:space="preserve">Telematics data collected under this policy will be used only for legitimate business purposes, including but not limited to:</w:t>
      </w:r>
    </w:p>
    <w:p>
      <w:pPr>
        <w:pStyle w:val="ListParagraph"/>
        <w:numPr>
          <w:ilvl w:val="0"/>
          <w:numId w:val="3"/>
        </w:numPr>
        <w:spacing w:after="60" w:line="276"/>
      </w:pPr>
      <w:r>
        <w:rPr>
          <w:rFonts w:ascii="Arial" w:cs="Arial" w:eastAsia="Arial" w:hAnsi="Arial"/>
          <w:color w:val="333333"/>
          <w:sz w:val="20"/>
          <w:szCs w:val="20"/>
        </w:rPr>
        <w:t xml:space="preserve">Driver safety coaching, training, and performance evaluation</w:t>
      </w:r>
    </w:p>
    <w:p>
      <w:pPr>
        <w:pStyle w:val="ListParagraph"/>
        <w:numPr>
          <w:ilvl w:val="0"/>
          <w:numId w:val="3"/>
        </w:numPr>
        <w:spacing w:after="60" w:line="276"/>
      </w:pPr>
      <w:r>
        <w:rPr>
          <w:rFonts w:ascii="Arial" w:cs="Arial" w:eastAsia="Arial" w:hAnsi="Arial"/>
          <w:color w:val="333333"/>
          <w:sz w:val="20"/>
          <w:szCs w:val="20"/>
        </w:rPr>
        <w:t xml:space="preserve">Accident investigation, reconstruction, and claims documentation</w:t>
      </w:r>
    </w:p>
    <w:p>
      <w:pPr>
        <w:pStyle w:val="ListParagraph"/>
        <w:numPr>
          <w:ilvl w:val="0"/>
          <w:numId w:val="3"/>
        </w:numPr>
        <w:spacing w:after="60" w:line="276"/>
      </w:pPr>
      <w:r>
        <w:rPr>
          <w:rFonts w:ascii="Arial" w:cs="Arial" w:eastAsia="Arial" w:hAnsi="Arial"/>
          <w:color w:val="333333"/>
          <w:sz w:val="20"/>
          <w:szCs w:val="20"/>
        </w:rPr>
        <w:t xml:space="preserve">Insurance underwriting, premium negotiation, and loss run reporting</w:t>
      </w:r>
    </w:p>
    <w:p>
      <w:pPr>
        <w:pStyle w:val="ListParagraph"/>
        <w:numPr>
          <w:ilvl w:val="0"/>
          <w:numId w:val="3"/>
        </w:numPr>
        <w:spacing w:after="60" w:line="276"/>
      </w:pPr>
      <w:r>
        <w:rPr>
          <w:rFonts w:ascii="Arial" w:cs="Arial" w:eastAsia="Arial" w:hAnsi="Arial"/>
          <w:color w:val="333333"/>
          <w:sz w:val="20"/>
          <w:szCs w:val="20"/>
        </w:rPr>
        <w:t xml:space="preserve">DOT/FMCSA regulatory compliance and audit preparation</w:t>
      </w:r>
    </w:p>
    <w:p>
      <w:pPr>
        <w:pStyle w:val="ListParagraph"/>
        <w:numPr>
          <w:ilvl w:val="0"/>
          <w:numId w:val="3"/>
        </w:numPr>
        <w:spacing w:after="60" w:line="276"/>
      </w:pPr>
      <w:r>
        <w:rPr>
          <w:rFonts w:ascii="Arial" w:cs="Arial" w:eastAsia="Arial" w:hAnsi="Arial"/>
          <w:color w:val="333333"/>
          <w:sz w:val="20"/>
          <w:szCs w:val="20"/>
        </w:rPr>
        <w:t xml:space="preserve">Fleet optimization including routing, dispatch, and preventive maintenance</w:t>
      </w:r>
    </w:p>
    <w:p>
      <w:pPr>
        <w:pStyle w:val="ListParagraph"/>
        <w:numPr>
          <w:ilvl w:val="0"/>
          <w:numId w:val="3"/>
        </w:numPr>
        <w:spacing w:after="60" w:line="276"/>
      </w:pPr>
      <w:r>
        <w:rPr>
          <w:rFonts w:ascii="Arial" w:cs="Arial" w:eastAsia="Arial" w:hAnsi="Arial"/>
          <w:color w:val="333333"/>
          <w:sz w:val="20"/>
          <w:szCs w:val="20"/>
        </w:rPr>
        <w:t xml:space="preserve">Theft recovery and unauthorized vehicle use investigation</w:t>
      </w:r>
    </w:p>
    <w:p>
      <w:pPr>
        <w:pStyle w:val="ListParagraph"/>
        <w:numPr>
          <w:ilvl w:val="0"/>
          <w:numId w:val="3"/>
        </w:numPr>
        <w:spacing w:after="100" w:line="276"/>
      </w:pPr>
      <w:r>
        <w:rPr>
          <w:rFonts w:ascii="Arial" w:cs="Arial" w:eastAsia="Arial" w:hAnsi="Arial"/>
          <w:color w:val="333333"/>
          <w:sz w:val="20"/>
          <w:szCs w:val="20"/>
        </w:rPr>
        <w:t xml:space="preserve">Response to lawful subpoenas, court orders, or regulatory requests</w:t>
      </w:r>
    </w:p>
    <w:p>
      <w:pPr>
        <w:spacing w:before="280" w:after="100"/>
      </w:pPr>
      <w:r>
        <w:rPr>
          <w:rFonts w:ascii="Arial" w:cs="Arial" w:eastAsia="Arial" w:hAnsi="Arial"/>
          <w:b/>
          <w:bCs/>
          <w:color w:val="1B2A4A"/>
          <w:sz w:val="24"/>
          <w:szCs w:val="24"/>
        </w:rPr>
        <w:t xml:space="preserve">4. Privacy &amp; Data Protection</w:t>
      </w:r>
    </w:p>
    <w:p>
      <w:pPr>
        <w:spacing w:after="120" w:line="276"/>
      </w:pPr>
      <w:r>
        <w:rPr>
          <w:rFonts w:ascii="Arial" w:cs="Arial" w:eastAsia="Arial" w:hAnsi="Arial"/>
          <w:b w:val="false"/>
          <w:bCs w:val="false"/>
          <w:i w:val="false"/>
          <w:iCs w:val="false"/>
          <w:color w:val="333333"/>
          <w:sz w:val="20"/>
          <w:szCs w:val="20"/>
        </w:rPr>
        <w:t xml:space="preserve">The company is committed to protecting employee privacy within the scope of legitimate business operations:</w:t>
      </w:r>
    </w:p>
    <w:p>
      <w:pPr>
        <w:pStyle w:val="ListParagraph"/>
        <w:numPr>
          <w:ilvl w:val="0"/>
          <w:numId w:val="2"/>
        </w:numPr>
        <w:spacing w:after="60" w:line="276"/>
      </w:pPr>
      <w:r>
        <w:rPr>
          <w:rFonts w:ascii="Arial" w:cs="Arial" w:eastAsia="Arial" w:hAnsi="Arial"/>
          <w:color w:val="333333"/>
          <w:sz w:val="20"/>
          <w:szCs w:val="20"/>
        </w:rPr>
        <w:t xml:space="preserve">Telematics data will be stored securely with access restricted to authorized management, safety, HR, and insurance personnel only.</w:t>
      </w:r>
    </w:p>
    <w:p>
      <w:pPr>
        <w:pStyle w:val="ListParagraph"/>
        <w:numPr>
          <w:ilvl w:val="0"/>
          <w:numId w:val="2"/>
        </w:numPr>
        <w:spacing w:after="60" w:line="276"/>
      </w:pPr>
      <w:r>
        <w:rPr>
          <w:rFonts w:ascii="Arial" w:cs="Arial" w:eastAsia="Arial" w:hAnsi="Arial"/>
          <w:color w:val="333333"/>
          <w:sz w:val="20"/>
          <w:szCs w:val="20"/>
        </w:rPr>
        <w:t xml:space="preserve">Data will be retained for a minimum of [retention period, e.g., 3 years] in accordance with DOT record-keeping requirements and insurance documentation needs.</w:t>
      </w:r>
    </w:p>
    <w:p>
      <w:pPr>
        <w:pStyle w:val="ListParagraph"/>
        <w:numPr>
          <w:ilvl w:val="0"/>
          <w:numId w:val="2"/>
        </w:numPr>
        <w:spacing w:after="60" w:line="276"/>
      </w:pPr>
      <w:r>
        <w:rPr>
          <w:rFonts w:ascii="Arial" w:cs="Arial" w:eastAsia="Arial" w:hAnsi="Arial"/>
          <w:color w:val="333333"/>
          <w:sz w:val="20"/>
          <w:szCs w:val="20"/>
        </w:rPr>
        <w:t xml:space="preserve">Telematics monitoring applies only during work hours and work-related vehicle use. If a company vehicle is authorized for personal use, [describe how personal time is handled, e.g., a personal mode toggle or after-hours data exclusion].</w:t>
      </w:r>
    </w:p>
    <w:p>
      <w:r>
        <w:br w:type="page"/>
      </w:r>
    </w:p>
    <w:p>
      <w:pPr>
        <w:pStyle w:val="ListParagraph"/>
        <w:numPr>
          <w:ilvl w:val="0"/>
          <w:numId w:val="2"/>
        </w:numPr>
        <w:spacing w:after="60" w:line="276"/>
      </w:pPr>
      <w:r>
        <w:rPr>
          <w:rFonts w:ascii="Arial" w:cs="Arial" w:eastAsia="Arial" w:hAnsi="Arial"/>
          <w:color w:val="333333"/>
          <w:sz w:val="20"/>
          <w:szCs w:val="20"/>
        </w:rPr>
        <w:t xml:space="preserve">Data will not be sold, shared with third parties for marketing purposes, or used to monitor employees for non-business reasons.</w:t>
      </w:r>
    </w:p>
    <w:p>
      <w:pPr>
        <w:pStyle w:val="ListParagraph"/>
        <w:numPr>
          <w:ilvl w:val="0"/>
          <w:numId w:val="2"/>
        </w:numPr>
        <w:spacing w:after="60" w:line="276"/>
      </w:pPr>
      <w:r>
        <w:rPr>
          <w:rFonts w:ascii="Arial" w:cs="Arial" w:eastAsia="Arial" w:hAnsi="Arial"/>
          <w:color w:val="333333"/>
          <w:sz w:val="20"/>
          <w:szCs w:val="20"/>
        </w:rPr>
        <w:t xml:space="preserve">Employees may request to review their own telematics data by contacting [designated contact/department].</w:t>
      </w:r>
    </w:p>
    <w:p>
      <w:pPr>
        <w:pStyle w:val="ListParagraph"/>
        <w:numPr>
          <w:ilvl w:val="0"/>
          <w:numId w:val="2"/>
        </w:numPr>
        <w:spacing w:after="100" w:line="276"/>
      </w:pPr>
      <w:r>
        <w:rPr>
          <w:rFonts w:ascii="Arial" w:cs="Arial" w:eastAsia="Arial" w:hAnsi="Arial"/>
          <w:color w:val="333333"/>
          <w:sz w:val="20"/>
          <w:szCs w:val="20"/>
        </w:rPr>
        <w:t xml:space="preserve">The company will comply with all applicable federal and state privacy laws, including [list applicable state laws, e.g., Washington Employee Monitoring laws].</w:t>
      </w:r>
    </w:p>
    <w:p>
      <w:pPr>
        <w:spacing w:before="280" w:after="100"/>
      </w:pPr>
      <w:r>
        <w:rPr>
          <w:rFonts w:ascii="Arial" w:cs="Arial" w:eastAsia="Arial" w:hAnsi="Arial"/>
          <w:b/>
          <w:bCs/>
          <w:color w:val="1B2A4A"/>
          <w:sz w:val="24"/>
          <w:szCs w:val="24"/>
        </w:rPr>
        <w:t xml:space="preserve">5. Employee Responsibilities</w:t>
      </w:r>
    </w:p>
    <w:p>
      <w:pPr>
        <w:spacing w:after="120" w:line="276"/>
      </w:pPr>
      <w:r>
        <w:rPr>
          <w:rFonts w:ascii="Arial" w:cs="Arial" w:eastAsia="Arial" w:hAnsi="Arial"/>
          <w:b w:val="false"/>
          <w:bCs w:val="false"/>
          <w:i w:val="false"/>
          <w:iCs w:val="false"/>
          <w:color w:val="333333"/>
          <w:sz w:val="20"/>
          <w:szCs w:val="20"/>
        </w:rPr>
        <w:t xml:space="preserve">All employees operating vehicles equipped with telematics devices agree to the following:</w:t>
      </w:r>
    </w:p>
    <w:p>
      <w:pPr>
        <w:pStyle w:val="ListParagraph"/>
        <w:numPr>
          <w:ilvl w:val="0"/>
          <w:numId w:val="4"/>
        </w:numPr>
        <w:spacing w:after="60" w:line="276"/>
      </w:pPr>
      <w:r>
        <w:rPr>
          <w:rFonts w:ascii="Arial" w:cs="Arial" w:eastAsia="Arial" w:hAnsi="Arial"/>
          <w:color w:val="333333"/>
          <w:sz w:val="20"/>
          <w:szCs w:val="20"/>
        </w:rPr>
        <w:t xml:space="preserve">Do not tamper with, disable, disconnect, obstruct, or attempt to circumvent any telematics device, GPS antenna, dashcam, or associated wiring.</w:t>
      </w:r>
    </w:p>
    <w:p>
      <w:pPr>
        <w:pStyle w:val="ListParagraph"/>
        <w:numPr>
          <w:ilvl w:val="0"/>
          <w:numId w:val="4"/>
        </w:numPr>
        <w:spacing w:after="60" w:line="276"/>
      </w:pPr>
      <w:r>
        <w:rPr>
          <w:rFonts w:ascii="Arial" w:cs="Arial" w:eastAsia="Arial" w:hAnsi="Arial"/>
          <w:color w:val="333333"/>
          <w:sz w:val="20"/>
          <w:szCs w:val="20"/>
        </w:rPr>
        <w:t xml:space="preserve">Report any device malfunction, error messages, or dashboard alerts to your supervisor or fleet manager within 24 hours.</w:t>
      </w:r>
    </w:p>
    <w:p>
      <w:pPr>
        <w:pStyle w:val="ListParagraph"/>
        <w:numPr>
          <w:ilvl w:val="0"/>
          <w:numId w:val="4"/>
        </w:numPr>
        <w:spacing w:after="60" w:line="276"/>
      </w:pPr>
      <w:r>
        <w:rPr>
          <w:rFonts w:ascii="Arial" w:cs="Arial" w:eastAsia="Arial" w:hAnsi="Arial"/>
          <w:color w:val="333333"/>
          <w:sz w:val="20"/>
          <w:szCs w:val="20"/>
        </w:rPr>
        <w:t xml:space="preserve">Complete all required pre-trip and post-trip inspections, including verification that telematics devices are functioning properly.</w:t>
      </w:r>
    </w:p>
    <w:p>
      <w:pPr>
        <w:pStyle w:val="ListParagraph"/>
        <w:numPr>
          <w:ilvl w:val="0"/>
          <w:numId w:val="4"/>
        </w:numPr>
        <w:spacing w:after="60" w:line="276"/>
      </w:pPr>
      <w:r>
        <w:rPr>
          <w:rFonts w:ascii="Arial" w:cs="Arial" w:eastAsia="Arial" w:hAnsi="Arial"/>
          <w:color w:val="333333"/>
          <w:sz w:val="20"/>
          <w:szCs w:val="20"/>
        </w:rPr>
        <w:t xml:space="preserve">Use the ELD/HOS system accurately and in compliance with FMCSA regulations. Do not falsify or alter electronic logs.</w:t>
      </w:r>
    </w:p>
    <w:p>
      <w:pPr>
        <w:pStyle w:val="ListParagraph"/>
        <w:numPr>
          <w:ilvl w:val="0"/>
          <w:numId w:val="4"/>
        </w:numPr>
        <w:spacing w:after="60" w:line="276"/>
      </w:pPr>
      <w:r>
        <w:rPr>
          <w:rFonts w:ascii="Arial" w:cs="Arial" w:eastAsia="Arial" w:hAnsi="Arial"/>
          <w:color w:val="333333"/>
          <w:sz w:val="20"/>
          <w:szCs w:val="20"/>
        </w:rPr>
        <w:t xml:space="preserve">Participate in safety coaching sessions when telematics data indicates corrective action is warranted.</w:t>
      </w:r>
    </w:p>
    <w:p>
      <w:pPr>
        <w:pStyle w:val="ListParagraph"/>
        <w:numPr>
          <w:ilvl w:val="0"/>
          <w:numId w:val="4"/>
        </w:numPr>
        <w:spacing w:after="60" w:line="276"/>
      </w:pPr>
      <w:r>
        <w:rPr>
          <w:rFonts w:ascii="Arial" w:cs="Arial" w:eastAsia="Arial" w:hAnsi="Arial"/>
          <w:color w:val="333333"/>
          <w:sz w:val="20"/>
          <w:szCs w:val="20"/>
        </w:rPr>
        <w:t xml:space="preserve">Operate all vehicles in accordance with company safety policies, traffic laws, and posted speed limits.</w:t>
      </w:r>
    </w:p>
    <w:p>
      <w:pPr>
        <w:pStyle w:val="ListParagraph"/>
        <w:numPr>
          <w:ilvl w:val="0"/>
          <w:numId w:val="4"/>
        </w:numPr>
        <w:spacing w:after="100" w:line="276"/>
      </w:pPr>
      <w:r>
        <w:rPr>
          <w:rFonts w:ascii="Arial" w:cs="Arial" w:eastAsia="Arial" w:hAnsi="Arial"/>
          <w:color w:val="333333"/>
          <w:sz w:val="20"/>
          <w:szCs w:val="20"/>
        </w:rPr>
        <w:t xml:space="preserve">Protect login credentials for any telematics platform or driver app. Do not share credentials with other employees.</w:t>
      </w:r>
    </w:p>
    <w:p>
      <w:pPr>
        <w:spacing w:before="280" w:after="100"/>
      </w:pPr>
      <w:r>
        <w:rPr>
          <w:rFonts w:ascii="Arial" w:cs="Arial" w:eastAsia="Arial" w:hAnsi="Arial"/>
          <w:b/>
          <w:bCs/>
          <w:color w:val="1B2A4A"/>
          <w:sz w:val="24"/>
          <w:szCs w:val="24"/>
        </w:rPr>
        <w:t xml:space="preserve">6. Consequences of Policy Violation</w:t>
      </w:r>
    </w:p>
    <w:p>
      <w:pPr>
        <w:spacing w:after="120" w:line="276"/>
      </w:pPr>
      <w:r>
        <w:rPr>
          <w:rFonts w:ascii="Arial" w:cs="Arial" w:eastAsia="Arial" w:hAnsi="Arial"/>
          <w:b w:val="false"/>
          <w:bCs w:val="false"/>
          <w:i w:val="false"/>
          <w:iCs w:val="false"/>
          <w:color w:val="333333"/>
          <w:sz w:val="20"/>
          <w:szCs w:val="20"/>
        </w:rPr>
        <w:t xml:space="preserve">Violations of this telematics policy may result in disciplinary action, up to and including termination, depending on the severity and frequency of the violation. Examples of violations include:</w:t>
      </w:r>
    </w:p>
    <w:p>
      <w:pPr>
        <w:pStyle w:val="ListParagraph"/>
        <w:numPr>
          <w:ilvl w:val="0"/>
          <w:numId w:val="2"/>
        </w:numPr>
        <w:spacing w:after="60" w:line="276"/>
      </w:pPr>
      <w:r>
        <w:rPr>
          <w:rFonts w:ascii="Arial" w:cs="Arial" w:eastAsia="Arial" w:hAnsi="Arial"/>
          <w:color w:val="333333"/>
          <w:sz w:val="20"/>
          <w:szCs w:val="20"/>
        </w:rPr>
        <w:t xml:space="preserve">Tampering with or disabling telematics equipment</w:t>
      </w:r>
    </w:p>
    <w:p>
      <w:pPr>
        <w:pStyle w:val="ListParagraph"/>
        <w:numPr>
          <w:ilvl w:val="0"/>
          <w:numId w:val="2"/>
        </w:numPr>
        <w:spacing w:after="60" w:line="276"/>
      </w:pPr>
      <w:r>
        <w:rPr>
          <w:rFonts w:ascii="Arial" w:cs="Arial" w:eastAsia="Arial" w:hAnsi="Arial"/>
          <w:color w:val="333333"/>
          <w:sz w:val="20"/>
          <w:szCs w:val="20"/>
        </w:rPr>
        <w:t xml:space="preserve">Falsifying ELD logs or driver vehicle inspection reports</w:t>
      </w:r>
    </w:p>
    <w:p>
      <w:pPr>
        <w:pStyle w:val="ListParagraph"/>
        <w:numPr>
          <w:ilvl w:val="0"/>
          <w:numId w:val="2"/>
        </w:numPr>
        <w:spacing w:after="60" w:line="276"/>
      </w:pPr>
      <w:r>
        <w:rPr>
          <w:rFonts w:ascii="Arial" w:cs="Arial" w:eastAsia="Arial" w:hAnsi="Arial"/>
          <w:color w:val="333333"/>
          <w:sz w:val="20"/>
          <w:szCs w:val="20"/>
        </w:rPr>
        <w:t xml:space="preserve">Repeated unsafe driving behaviors as documented by telematics data</w:t>
      </w:r>
    </w:p>
    <w:p>
      <w:pPr>
        <w:pStyle w:val="ListParagraph"/>
        <w:numPr>
          <w:ilvl w:val="0"/>
          <w:numId w:val="2"/>
        </w:numPr>
        <w:spacing w:after="60" w:line="276"/>
      </w:pPr>
      <w:r>
        <w:rPr>
          <w:rFonts w:ascii="Arial" w:cs="Arial" w:eastAsia="Arial" w:hAnsi="Arial"/>
          <w:color w:val="333333"/>
          <w:sz w:val="20"/>
          <w:szCs w:val="20"/>
        </w:rPr>
        <w:t xml:space="preserve">Unauthorized personal use of company vehicles</w:t>
      </w:r>
    </w:p>
    <w:p>
      <w:pPr>
        <w:pStyle w:val="ListParagraph"/>
        <w:numPr>
          <w:ilvl w:val="0"/>
          <w:numId w:val="2"/>
        </w:numPr>
        <w:spacing w:after="100" w:line="276"/>
      </w:pPr>
      <w:r>
        <w:rPr>
          <w:rFonts w:ascii="Arial" w:cs="Arial" w:eastAsia="Arial" w:hAnsi="Arial"/>
          <w:color w:val="333333"/>
          <w:sz w:val="20"/>
          <w:szCs w:val="20"/>
        </w:rPr>
        <w:t xml:space="preserve">Refusal to participate in required safety coaching sessions</w:t>
      </w:r>
    </w:p>
    <w:p>
      <w:r>
        <w:br w:type="page"/>
      </w:r>
    </w:p>
    <w:p>
      <w:pPr>
        <w:spacing w:before="280" w:after="100"/>
      </w:pPr>
      <w:r>
        <w:rPr>
          <w:rFonts w:ascii="Arial" w:cs="Arial" w:eastAsia="Arial" w:hAnsi="Arial"/>
          <w:b/>
          <w:bCs/>
          <w:color w:val="1B2A4A"/>
          <w:sz w:val="24"/>
          <w:szCs w:val="24"/>
        </w:rPr>
        <w:t xml:space="preserve">7. Insurance Program Integration</w:t>
      </w:r>
    </w:p>
    <w:p>
      <w:pPr>
        <w:spacing w:after="120" w:line="276"/>
      </w:pPr>
      <w:r>
        <w:rPr>
          <w:rFonts w:ascii="Arial" w:cs="Arial" w:eastAsia="Arial" w:hAnsi="Arial"/>
          <w:b w:val="false"/>
          <w:bCs w:val="false"/>
          <w:i w:val="false"/>
          <w:iCs w:val="false"/>
          <w:color w:val="333333"/>
          <w:sz w:val="20"/>
          <w:szCs w:val="20"/>
        </w:rPr>
        <w:t xml:space="preserve">Telematics data plays a critical role in our commercial insurance program. Employees should understand:</w:t>
      </w:r>
    </w:p>
    <w:p>
      <w:pPr>
        <w:pStyle w:val="ListParagraph"/>
        <w:numPr>
          <w:ilvl w:val="0"/>
          <w:numId w:val="2"/>
        </w:numPr>
        <w:spacing w:after="60" w:line="276"/>
      </w:pPr>
      <w:r>
        <w:rPr>
          <w:rFonts w:ascii="Arial" w:cs="Arial" w:eastAsia="Arial" w:hAnsi="Arial"/>
          <w:color w:val="333333"/>
          <w:sz w:val="20"/>
          <w:szCs w:val="20"/>
        </w:rPr>
        <w:t xml:space="preserve">Aggregated fleet safety data is shared with our insurance broker and carriers to negotiate the most favorable premium rates. Better driving performance directly contributes to lower insurance costs.</w:t>
      </w:r>
    </w:p>
    <w:p>
      <w:pPr>
        <w:pStyle w:val="ListParagraph"/>
        <w:numPr>
          <w:ilvl w:val="0"/>
          <w:numId w:val="2"/>
        </w:numPr>
        <w:spacing w:after="60" w:line="276"/>
      </w:pPr>
      <w:r>
        <w:rPr>
          <w:rFonts w:ascii="Arial" w:cs="Arial" w:eastAsia="Arial" w:hAnsi="Arial"/>
          <w:color w:val="333333"/>
          <w:sz w:val="20"/>
          <w:szCs w:val="20"/>
        </w:rPr>
        <w:t xml:space="preserve">In the event of an accident or claim, telematics data (including dashcam footage, speed logs, and location data) may be used to support accident reconstruction and defend against fraudulent claims.</w:t>
      </w:r>
    </w:p>
    <w:p>
      <w:pPr>
        <w:pStyle w:val="ListParagraph"/>
        <w:numPr>
          <w:ilvl w:val="0"/>
          <w:numId w:val="2"/>
        </w:numPr>
        <w:spacing w:after="60" w:line="276"/>
      </w:pPr>
      <w:r>
        <w:rPr>
          <w:rFonts w:ascii="Arial" w:cs="Arial" w:eastAsia="Arial" w:hAnsi="Arial"/>
          <w:color w:val="333333"/>
          <w:sz w:val="20"/>
          <w:szCs w:val="20"/>
        </w:rPr>
        <w:t xml:space="preserve">Our insurance carrier may require access to anonymized or aggregated telematics data as a condition of coverage or premium discount eligibility.</w:t>
      </w:r>
    </w:p>
    <w:p>
      <w:pPr>
        <w:pStyle w:val="ListParagraph"/>
        <w:numPr>
          <w:ilvl w:val="0"/>
          <w:numId w:val="2"/>
        </w:numPr>
        <w:spacing w:after="100" w:line="276"/>
      </w:pPr>
      <w:r>
        <w:rPr>
          <w:rFonts w:ascii="Arial" w:cs="Arial" w:eastAsia="Arial" w:hAnsi="Arial"/>
          <w:color w:val="333333"/>
          <w:sz w:val="20"/>
          <w:szCs w:val="20"/>
        </w:rPr>
        <w:t xml:space="preserve">Individual driver safety scores may be factored into fleet risk assessments conducted during annual insurance renewals.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6"/>
              <w:bottom w:val="single" w:color="C5972C" w:sz="2"/>
              <w:right w:val="single" w:color="C5972C" w:sz="2"/>
            </w:tcBorders>
            <w:shd w:fill="F5EBD7" w:val="clear"/>
            <w:tcMar>
              <w:top w:type="dxa" w:w="100"/>
              <w:left w:type="dxa" w:w="160"/>
              <w:bottom w:type="dxa" w:w="100"/>
              <w:right w:type="dxa" w:w="160"/>
            </w:tcMar>
          </w:tcPr>
          <w:p>
            <w:pPr>
              <w:spacing w:after="60"/>
            </w:pPr>
            <w:r>
              <w:rPr>
                <w:rFonts w:ascii="Arial" w:cs="Arial" w:eastAsia="Arial" w:hAnsi="Arial"/>
                <w:b/>
                <w:bCs/>
                <w:color w:val="1B2A4A"/>
                <w:sz w:val="22"/>
                <w:szCs w:val="22"/>
              </w:rPr>
              <w:t xml:space="preserve">Insurance Notice</w:t>
            </w:r>
          </w:p>
          <w:p>
            <w:pPr>
              <w:spacing w:after="0"/>
            </w:pPr>
            <w:r>
              <w:rPr>
                <w:rFonts w:ascii="Arial" w:cs="Arial" w:eastAsia="Arial" w:hAnsi="Arial"/>
                <w:color w:val="333333"/>
                <w:sz w:val="19"/>
                <w:szCs w:val="19"/>
              </w:rPr>
              <w:t xml:space="preserve">Your company's insurance broker may periodically review telematics data as part of ongoing risk management services. This data helps identify training opportunities, reduce claims frequency, and secure the best available insurance terms for your organization. For questions about how telematics data integrates with your insurance program, contact your First Underwriters broker at (425) 242-5357.</w:t>
            </w:r>
          </w:p>
        </w:tc>
      </w:tr>
    </w:tbl>
    <w:p>
      <w:pPr>
        <w:spacing w:after="80"/>
      </w:pPr>
    </w:p>
    <w:p>
      <w:pPr>
        <w:spacing w:before="280" w:after="100"/>
      </w:pPr>
      <w:r>
        <w:rPr>
          <w:rFonts w:ascii="Arial" w:cs="Arial" w:eastAsia="Arial" w:hAnsi="Arial"/>
          <w:b/>
          <w:bCs/>
          <w:color w:val="1B2A4A"/>
          <w:sz w:val="24"/>
          <w:szCs w:val="24"/>
        </w:rPr>
        <w:t xml:space="preserve">8. Dashcam &amp; Video Recording Policy</w:t>
      </w:r>
    </w:p>
    <w:p>
      <w:pPr>
        <w:spacing w:after="120" w:line="276"/>
      </w:pPr>
      <w:r>
        <w:rPr>
          <w:rFonts w:ascii="Arial" w:cs="Arial" w:eastAsia="Arial" w:hAnsi="Arial"/>
          <w:b w:val="false"/>
          <w:bCs w:val="false"/>
          <w:i w:val="false"/>
          <w:iCs w:val="false"/>
          <w:color w:val="333333"/>
          <w:sz w:val="20"/>
          <w:szCs w:val="20"/>
        </w:rPr>
        <w:t xml:space="preserve">If the company's telematics system includes dashcam capabilities (forward-facing, driver-facing, or both), the following additional provisions apply:</w:t>
      </w:r>
    </w:p>
    <w:p>
      <w:pPr>
        <w:pStyle w:val="ListParagraph"/>
        <w:numPr>
          <w:ilvl w:val="0"/>
          <w:numId w:val="2"/>
        </w:numPr>
        <w:spacing w:after="60" w:line="276"/>
      </w:pPr>
      <w:r>
        <w:rPr>
          <w:rFonts w:ascii="Arial" w:cs="Arial" w:eastAsia="Arial" w:hAnsi="Arial"/>
          <w:color w:val="333333"/>
          <w:sz w:val="20"/>
          <w:szCs w:val="20"/>
        </w:rPr>
        <w:t xml:space="preserve">Video recording is active [at all times / only during triggered safety events]. Employees will be notified of the recording configuration at the time of installation.</w:t>
      </w:r>
    </w:p>
    <w:p>
      <w:pPr>
        <w:pStyle w:val="ListParagraph"/>
        <w:numPr>
          <w:ilvl w:val="0"/>
          <w:numId w:val="2"/>
        </w:numPr>
        <w:spacing w:after="60" w:line="276"/>
      </w:pPr>
      <w:r>
        <w:rPr>
          <w:rFonts w:ascii="Arial" w:cs="Arial" w:eastAsia="Arial" w:hAnsi="Arial"/>
          <w:color w:val="333333"/>
          <w:sz w:val="20"/>
          <w:szCs w:val="20"/>
        </w:rPr>
        <w:t xml:space="preserve">Dashcam footage is reviewed only when triggered by a safety event, accident, customer complaint, or as part of a routine coaching session. Footage is not continuously monitored in real-time.</w:t>
      </w:r>
    </w:p>
    <w:p>
      <w:pPr>
        <w:pStyle w:val="ListParagraph"/>
        <w:numPr>
          <w:ilvl w:val="0"/>
          <w:numId w:val="2"/>
        </w:numPr>
        <w:spacing w:after="60" w:line="276"/>
      </w:pPr>
      <w:r>
        <w:rPr>
          <w:rFonts w:ascii="Arial" w:cs="Arial" w:eastAsia="Arial" w:hAnsi="Arial"/>
          <w:color w:val="333333"/>
          <w:sz w:val="20"/>
          <w:szCs w:val="20"/>
        </w:rPr>
        <w:t xml:space="preserve">Audio recording [is / is not] enabled. [If enabled, this complies with applicable state wiretapping and eavesdropping laws.]</w:t>
      </w:r>
    </w:p>
    <w:p>
      <w:pPr>
        <w:pStyle w:val="ListParagraph"/>
        <w:numPr>
          <w:ilvl w:val="0"/>
          <w:numId w:val="2"/>
        </w:numPr>
        <w:spacing w:after="100" w:line="276"/>
      </w:pPr>
      <w:r>
        <w:rPr>
          <w:rFonts w:ascii="Arial" w:cs="Arial" w:eastAsia="Arial" w:hAnsi="Arial"/>
          <w:color w:val="333333"/>
          <w:sz w:val="20"/>
          <w:szCs w:val="20"/>
        </w:rPr>
        <w:t xml:space="preserve">Employees must not obstruct, cover, redirect, or tamper with any camera lens. Cameras must remain in the manufacturer-installed position at all times.</w:t>
      </w:r>
    </w:p>
    <w:p>
      <w:pPr>
        <w:spacing w:before="280" w:after="100"/>
      </w:pPr>
      <w:r>
        <w:rPr>
          <w:rFonts w:ascii="Arial" w:cs="Arial" w:eastAsia="Arial" w:hAnsi="Arial"/>
          <w:b/>
          <w:bCs/>
          <w:color w:val="1B2A4A"/>
          <w:sz w:val="24"/>
          <w:szCs w:val="24"/>
        </w:rPr>
        <w:t xml:space="preserve">9. Questions &amp; Concerns</w:t>
      </w:r>
    </w:p>
    <w:p>
      <w:pPr>
        <w:spacing w:after="120" w:line="276"/>
      </w:pPr>
      <w:r>
        <w:rPr>
          <w:rFonts w:ascii="Arial" w:cs="Arial" w:eastAsia="Arial" w:hAnsi="Arial"/>
          <w:b w:val="false"/>
          <w:bCs w:val="false"/>
          <w:i w:val="false"/>
          <w:iCs w:val="false"/>
          <w:color w:val="333333"/>
          <w:sz w:val="20"/>
          <w:szCs w:val="20"/>
        </w:rPr>
        <w:t xml:space="preserve">Employees with questions, concerns, or complaints about the telematics program should contact: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Primary Contact:</w:t>
            </w:r>
          </w:p>
        </w:tc>
        <w:tc>
          <w:tcPr>
            <w:tcW w:type="dxa" w:w="69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[Fleet Manager Name, Title, Phone, Email]</w:t>
            </w:r>
          </w:p>
        </w:tc>
      </w:tr>
      <w:tr>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Secondary Contact:</w:t>
            </w:r>
          </w:p>
        </w:tc>
        <w:tc>
          <w:tcPr>
            <w:tcW w:type="dxa" w:w="69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i/>
                <w:iCs/>
                <w:color w:val="555555"/>
                <w:sz w:val="20"/>
                <w:szCs w:val="20"/>
              </w:rPr>
              <w:t xml:space="preserve">[HR Director Name, Title, Phone, Email]</w:t>
            </w:r>
          </w:p>
        </w:tc>
      </w:tr>
      <w:tr>
        <w:tc>
          <w:tcPr>
            <w:tcW w:type="dxa" w:w="24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Insurance Broker:</w:t>
            </w:r>
          </w:p>
        </w:tc>
        <w:tc>
          <w:tcPr>
            <w:tcW w:type="dxa" w:w="69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color w:val="333333"/>
                <w:sz w:val="20"/>
                <w:szCs w:val="20"/>
              </w:rPr>
              <w:t xml:space="preserve">First Underwriters Insurance Brokers — (425) 242-5357 — firstunderwriters.com</w:t>
            </w:r>
          </w:p>
        </w:tc>
      </w:tr>
    </w:tbl>
    <w:p>
      <w:pPr>
        <w:pageBreakBefore/>
        <w:spacing w:after="20"/>
      </w:pPr>
      <w:r>
        <w:rPr>
          <w:rFonts w:ascii="Arial" w:cs="Arial" w:eastAsia="Arial" w:hAnsi="Arial"/>
          <w:b/>
          <w:bCs/>
          <w:color w:val="1B2A4A"/>
          <w:sz w:val="28"/>
          <w:szCs w:val="28"/>
        </w:rPr>
        <w:t xml:space="preserve">Employee Acknowledgment &amp; Consent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24" w:hRule="exact"/>
        </w:trPr>
        <w:tc>
          <w:tcPr>
            <w:tcW w:type="dxa" w:w="9360"/>
            <w:tcBorders>
              <w:top w:val="none" w:color="FFFFFF" w:sz="0"/>
              <w:left w:val="none" w:color="FFFFFF" w:sz="0"/>
              <w:bottom w:val="none" w:color="FFFFFF" w:sz="0"/>
              <w:right w:val="none" w:color="FFFFFF" w:sz="0"/>
            </w:tcBorders>
            <w:shd w:fill="1B2A4A" w:val="clear"/>
          </w:tcPr>
          <w:p/>
        </w:tc>
      </w:tr>
    </w:tbl>
    <w:p>
      <w:pPr>
        <w:spacing w:after="80"/>
      </w:pPr>
    </w:p>
    <w:p>
      <w:pPr>
        <w:spacing w:after="120" w:line="276"/>
      </w:pPr>
      <w:r>
        <w:rPr>
          <w:rFonts w:ascii="Arial" w:cs="Arial" w:eastAsia="Arial" w:hAnsi="Arial"/>
          <w:b w:val="false"/>
          <w:bCs w:val="false"/>
          <w:i w:val="false"/>
          <w:iCs w:val="false"/>
          <w:color w:val="333333"/>
          <w:sz w:val="20"/>
          <w:szCs w:val="20"/>
        </w:rPr>
        <w:t xml:space="preserve">By signing below, I acknowledge and confirm the following:</w:t>
      </w:r>
    </w:p>
    <w:p>
      <w:pPr>
        <w:pStyle w:val="ListParagraph"/>
        <w:numPr>
          <w:ilvl w:val="0"/>
          <w:numId w:val="4"/>
        </w:numPr>
        <w:spacing w:after="80" w:line="276"/>
      </w:pPr>
      <w:r>
        <w:rPr>
          <w:rFonts w:ascii="Arial" w:cs="Arial" w:eastAsia="Arial" w:hAnsi="Arial"/>
          <w:color w:val="333333"/>
          <w:sz w:val="20"/>
          <w:szCs w:val="20"/>
        </w:rPr>
        <w:t xml:space="preserve">I have received, read, and understand the company's Telematics &amp; GPS Tracking Policy.</w:t>
      </w:r>
    </w:p>
    <w:p>
      <w:pPr>
        <w:pStyle w:val="ListParagraph"/>
        <w:numPr>
          <w:ilvl w:val="0"/>
          <w:numId w:val="4"/>
        </w:numPr>
        <w:spacing w:after="80" w:line="276"/>
      </w:pPr>
      <w:r>
        <w:rPr>
          <w:rFonts w:ascii="Arial" w:cs="Arial" w:eastAsia="Arial" w:hAnsi="Arial"/>
          <w:color w:val="333333"/>
          <w:sz w:val="20"/>
          <w:szCs w:val="20"/>
        </w:rPr>
        <w:t xml:space="preserve">I understand that the company will use telematics and GPS technology to monitor vehicle location, driving behavior, vehicle diagnostics, and compliance data as described in this policy.</w:t>
      </w:r>
    </w:p>
    <w:p>
      <w:pPr>
        <w:pStyle w:val="ListParagraph"/>
        <w:numPr>
          <w:ilvl w:val="0"/>
          <w:numId w:val="4"/>
        </w:numPr>
        <w:spacing w:after="80" w:line="276"/>
      </w:pPr>
      <w:r>
        <w:rPr>
          <w:rFonts w:ascii="Arial" w:cs="Arial" w:eastAsia="Arial" w:hAnsi="Arial"/>
          <w:color w:val="333333"/>
          <w:sz w:val="20"/>
          <w:szCs w:val="20"/>
        </w:rPr>
        <w:t xml:space="preserve">I consent to the collection, storage, and authorized use of telematics data from any company vehicle I operate, including dashcam video recording if applicable.</w:t>
      </w:r>
    </w:p>
    <w:p>
      <w:pPr>
        <w:pStyle w:val="ListParagraph"/>
        <w:numPr>
          <w:ilvl w:val="0"/>
          <w:numId w:val="4"/>
        </w:numPr>
        <w:spacing w:after="80" w:line="276"/>
      </w:pPr>
      <w:r>
        <w:rPr>
          <w:rFonts w:ascii="Arial" w:cs="Arial" w:eastAsia="Arial" w:hAnsi="Arial"/>
          <w:color w:val="333333"/>
          <w:sz w:val="20"/>
          <w:szCs w:val="20"/>
        </w:rPr>
        <w:t xml:space="preserve">I understand that telematics data may be shared with the company's insurance broker and carriers for purposes of underwriting, claims management, and premium optimization.</w:t>
      </w:r>
    </w:p>
    <w:p>
      <w:pPr>
        <w:pStyle w:val="ListParagraph"/>
        <w:numPr>
          <w:ilvl w:val="0"/>
          <w:numId w:val="4"/>
        </w:numPr>
        <w:spacing w:after="80" w:line="276"/>
      </w:pPr>
      <w:r>
        <w:rPr>
          <w:rFonts w:ascii="Arial" w:cs="Arial" w:eastAsia="Arial" w:hAnsi="Arial"/>
          <w:color w:val="333333"/>
          <w:sz w:val="20"/>
          <w:szCs w:val="20"/>
        </w:rPr>
        <w:t xml:space="preserve">I agree to comply with all employee responsibilities outlined in Section 5 of this policy, including not tampering with any telematics device or dashcam.</w:t>
      </w:r>
    </w:p>
    <w:p>
      <w:pPr>
        <w:pStyle w:val="ListParagraph"/>
        <w:numPr>
          <w:ilvl w:val="0"/>
          <w:numId w:val="4"/>
        </w:numPr>
        <w:spacing w:after="80" w:line="276"/>
      </w:pPr>
      <w:r>
        <w:rPr>
          <w:rFonts w:ascii="Arial" w:cs="Arial" w:eastAsia="Arial" w:hAnsi="Arial"/>
          <w:color w:val="333333"/>
          <w:sz w:val="20"/>
          <w:szCs w:val="20"/>
        </w:rPr>
        <w:t xml:space="preserve">I understand that violation of this policy may result in disciplinary action, up to and including termination of employment.</w:t>
      </w:r>
    </w:p>
    <w:p>
      <w:pPr>
        <w:pStyle w:val="ListParagraph"/>
        <w:numPr>
          <w:ilvl w:val="0"/>
          <w:numId w:val="4"/>
        </w:numPr>
        <w:spacing w:after="80" w:line="276"/>
      </w:pPr>
      <w:r>
        <w:rPr>
          <w:rFonts w:ascii="Arial" w:cs="Arial" w:eastAsia="Arial" w:hAnsi="Arial"/>
          <w:color w:val="333333"/>
          <w:sz w:val="20"/>
          <w:szCs w:val="20"/>
        </w:rPr>
        <w:t xml:space="preserve">I have had the opportunity to ask questions about this policy and am satisfied with the explanations provided.</w:t>
      </w:r>
    </w:p>
    <w:p>
      <w:pPr>
        <w:spacing w:after="1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rPr>
          <w:trHeight w:val="42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Employee Name (Print):</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r>
        <w:trPr>
          <w:trHeight w:val="42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Employee ID / Badge #:</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r>
        <w:trPr>
          <w:trHeight w:val="42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Department / Route:</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r>
        <w:trPr>
          <w:trHeight w:val="56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Employee Signature:</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r>
        <w:trPr>
          <w:trHeight w:val="42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Date:</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bl>
    <w:p>
      <w:pPr>
        <w:spacing w:after="1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rPr>
          <w:trHeight w:val="42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Supervisor Name (Print):</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r>
        <w:trPr>
          <w:trHeight w:val="56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Supervisor Signature:</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r>
        <w:trPr>
          <w:trHeight w:val="420" w:hRule="atLeast"/>
        </w:trPr>
        <w:tc>
          <w:tcPr>
            <w:tcW w:type="dxa" w:w="2800"/>
            <w:tcBorders>
              <w:top w:val="single" w:color="E0E0E0" w:sz="1"/>
              <w:left w:val="single" w:color="E0E0E0" w:sz="1"/>
              <w:bottom w:val="single" w:color="E0E0E0" w:sz="1"/>
              <w:right w:val="single" w:color="E0E0E0" w:sz="1"/>
            </w:tcBorders>
            <w:shd w:fill="F2F2F2" w:val="clear"/>
            <w:tcMar>
              <w:top w:type="dxa" w:w="60"/>
              <w:left w:type="dxa" w:w="120"/>
              <w:bottom w:type="dxa" w:w="60"/>
              <w:right w:type="dxa" w:w="120"/>
            </w:tcMar>
            <w:vAlign w:val="center"/>
          </w:tcPr>
          <w:p>
            <w:r>
              <w:rPr>
                <w:rFonts w:ascii="Arial" w:cs="Arial" w:eastAsia="Arial" w:hAnsi="Arial"/>
                <w:b/>
                <w:bCs/>
                <w:color w:val="1B2A4A"/>
                <w:sz w:val="20"/>
                <w:szCs w:val="20"/>
              </w:rPr>
              <w:t xml:space="preserve">Date:</w:t>
            </w:r>
          </w:p>
        </w:tc>
        <w:tc>
          <w:tcPr>
            <w:tcW w:type="dxa" w:w="6560"/>
            <w:tcBorders>
              <w:top w:val="single" w:color="E0E0E0" w:sz="1"/>
              <w:left w:val="single" w:color="E0E0E0" w:sz="1"/>
              <w:bottom w:val="single" w:color="E0E0E0" w:sz="1"/>
              <w:right w:val="single" w:color="E0E0E0" w:sz="1"/>
            </w:tcBorders>
            <w:tcMar>
              <w:top w:type="dxa" w:w="60"/>
              <w:left w:type="dxa" w:w="120"/>
              <w:bottom w:type="dxa" w:w="60"/>
              <w:right w:type="dxa" w:w="120"/>
            </w:tcMar>
            <w:vAlign w:val="center"/>
          </w:tcPr>
          <w:p>
            <w:r>
              <w:rPr>
                <w:rFonts w:ascii="Arial" w:cs="Arial" w:eastAsia="Arial" w:hAnsi="Arial"/>
                <w:sz w:val="20"/>
                <w:szCs w:val="20"/>
              </w:rPr>
              <w:t xml:space="preserve"/>
            </w:r>
          </w:p>
        </w:tc>
      </w:tr>
    </w:tbl>
    <w:p>
      <w:pPr>
        <w:spacing w:after="1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E0E0E0" w:sz="1"/>
              <w:left w:val="single" w:color="E0E0E0" w:sz="1"/>
              <w:bottom w:val="single" w:color="E0E0E0" w:sz="1"/>
              <w:right w:val="single" w:color="E0E0E0" w:sz="1"/>
            </w:tcBorders>
            <w:shd w:fill="F5EBD7" w:val="clear"/>
            <w:tcMar>
              <w:top w:type="dxa" w:w="80"/>
              <w:left w:type="dxa" w:w="140"/>
              <w:bottom w:type="dxa" w:w="80"/>
              <w:right w:type="dxa" w:w="140"/>
            </w:tcMar>
          </w:tcPr>
          <w:p>
            <w:pPr>
              <w:spacing w:after="40"/>
            </w:pPr>
            <w:r>
              <w:rPr>
                <w:rFonts w:ascii="Arial" w:cs="Arial" w:eastAsia="Arial" w:hAnsi="Arial"/>
                <w:b/>
                <w:bCs/>
                <w:color w:val="1B2A4A"/>
                <w:sz w:val="20"/>
                <w:szCs w:val="20"/>
              </w:rPr>
              <w:t xml:space="preserve">Distribution:</w:t>
            </w:r>
          </w:p>
          <w:p>
            <w:r>
              <w:rPr>
                <w:rFonts w:ascii="Arial" w:cs="Arial" w:eastAsia="Arial" w:hAnsi="Arial"/>
                <w:color w:val="555555"/>
                <w:sz w:val="17"/>
                <w:szCs w:val="17"/>
              </w:rPr>
              <w:t xml:space="preserve">☐ Original — Employee Personnel File     ☐ Copy — Employee     ☐ Copy — Fleet/Safety Dept     ☐ Copy — Insurance File</w:t>
            </w:r>
          </w:p>
        </w:tc>
      </w:tr>
    </w:tbl>
    <w:p>
      <w:pPr>
        <w:spacing w:after="120"/>
      </w:pPr>
    </w:p>
    <w:p>
      <w:pPr>
        <w:spacing w:after="120" w:line="276"/>
      </w:pPr>
      <w:r>
        <w:rPr>
          <w:rFonts w:ascii="Arial" w:cs="Arial" w:eastAsia="Arial" w:hAnsi="Arial"/>
          <w:b w:val="false"/>
          <w:bCs w:val="false"/>
          <w:i/>
          <w:iCs/>
          <w:color w:val="555555"/>
          <w:sz w:val="20"/>
          <w:szCs w:val="20"/>
        </w:rPr>
        <w:t xml:space="preserve">This sample telematics policy is provided by First Underwriters Insurance Brokers as a free educational resource for fleet operators. It is not legal advice. Consult with qualified legal counsel to ensure compliance with federal, state, and local laws before implementing any employee monitoring policy. For questions about how telematics integrates with your commercial insurance program, contact First Underwriters at (425) 242-5357.</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spacing w:after="40"/>
      <w:jc w:val="center"/>
    </w:pPr>
    <w:r>
      <w:rPr>
        <w:rFonts w:ascii="Arial" w:cs="Arial" w:eastAsia="Arial" w:hAnsi="Arial"/>
        <w:b/>
        <w:bCs/>
        <w:color w:val="C5972C"/>
        <w:sz w:val="14"/>
        <w:szCs w:val="14"/>
      </w:rPr>
      <w:t xml:space="preserve">SAMPLE DOCUMENT — Customize to your organization before use</w:t>
    </w:r>
  </w:p>
  <w:p>
    <w:pPr>
      <w:jc w:val="center"/>
    </w:pPr>
    <w:r>
      <w:rPr>
        <w:rFonts w:ascii="Arial" w:cs="Arial" w:eastAsia="Arial" w:hAnsi="Arial"/>
        <w:color w:val="555555"/>
        <w:sz w:val="14"/>
        <w:szCs w:val="14"/>
      </w:rPr>
      <w:t xml:space="preserve">First Underwriters Insurance Brokers  |  (425) 242-5357  |  firstunderwriters.com  |  Page </w:t>
    </w:r>
    <w:r>
      <w:rPr>
        <w:rFonts w:ascii="Arial" w:cs="Arial" w:eastAsia="Arial" w:hAnsi="Arial"/>
        <w:color w:val="555555"/>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0"/>
      <w:jc w:val="right"/>
    </w:pPr>
    <w:r>
      <w:rPr>
        <w:rFonts w:ascii="Arial" w:cs="Arial" w:eastAsia="Arial" w:hAnsi="Arial"/>
        <w:i/>
        <w:iCs/>
        <w:color w:val="555555"/>
        <w:sz w:val="15"/>
        <w:szCs w:val="15"/>
      </w:rPr>
      <w:t xml:space="preserve">First Underwriters Insurance Brokers  |  Telematics Policy Sample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bullet"/>
      <w:lvlText w:val="–"/>
      <w:lvlJc w:val="left"/>
      <w:pPr>
        <w:ind w:left="1080" w:hanging="360"/>
      </w:pPr>
    </w:lvl>
  </w:abstractNum>
  <w:abstractNum w:abstractNumId="5" w15:restartNumberingAfterBreak="0">
    <w:multiLevelType w:val="hybridMultilevel"/>
    <w:lvl w:ilvl="0" w15:tentative="1">
      <w:start w:val="1"/>
      <w:numFmt w:val="lowerLetter"/>
      <w:lvlText w:val="%1)"/>
      <w:lvlJc w:val="left"/>
      <w:pPr>
        <w:ind w:left="1080" w:hanging="360"/>
      </w:pPr>
    </w:lvl>
  </w:abstractNum>
  <w:num w:numId="1">
    <w:abstractNumId w:val="1"/>
    <w:lvlOverride w:ilvl="0">
      <w:startOverride w:val="1"/>
    </w:lvlOverride>
  </w:num>
  <w:num w:numId="2">
    <w:abstractNumId w:val="2"/>
    <w:lvlOverride w:ilvl="0">
      <w:startOverride w:val="1"/>
    </w:lvlOverride>
  </w:num>
  <w:num w:numId="3">
    <w:abstractNumId w:val="5"/>
    <w:lvlOverride w:ilvl="0">
      <w:startOverride w:val="1"/>
    </w:lvlOverride>
  </w:num>
  <w:num w:numId="4">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80" w:after="120"/>
      <w:outlineLvl w:val="0"/>
    </w:pPr>
    <w:rPr>
      <w:rFonts w:ascii="Arial" w:cs="Arial" w:eastAsia="Arial" w:hAnsi="Arial"/>
      <w:b/>
      <w:bCs/>
      <w:color w:val="1B2A4A"/>
      <w:sz w:val="28"/>
      <w:szCs w:val="28"/>
    </w:rPr>
  </w:style>
  <w:style w:type="paragraph" w:styleId="Heading2">
    <w:name w:val="Heading 2"/>
    <w:basedOn w:val="Normal"/>
    <w:next w:val="Normal"/>
    <w:qFormat/>
    <w:pPr>
      <w:spacing w:before="200" w:after="100"/>
      <w:outlineLvl w:val="1"/>
    </w:pPr>
    <w:rPr>
      <w:rFonts w:ascii="Arial" w:cs="Arial" w:eastAsia="Arial" w:hAnsi="Arial"/>
      <w:b/>
      <w:bCs/>
      <w:color w:val="1B2A4A"/>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2026-02-06T23:07:25.506Z</dcterms:created>
  <dcterms:modified xsi:type="dcterms:W3CDTF">2026-02-06T23:07:25.506Z</dcterms:modified>
</cp:coreProperties>
</file>

<file path=docProps/custom.xml><?xml version="1.0" encoding="utf-8"?>
<Properties xmlns="http://schemas.openxmlformats.org/officeDocument/2006/custom-properties" xmlns:vt="http://schemas.openxmlformats.org/officeDocument/2006/docPropsVTypes"/>
</file>