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none" w:color="FFFFFF" w:sz="0"/>
              <w:left w:val="none" w:color="FFFFFF" w:sz="0"/>
              <w:bottom w:val="single" w:color="C5972C" w:sz="12"/>
              <w:right w:val="none" w:color="FFFFFF" w:sz="0"/>
            </w:tcBorders>
            <w:shd w:fill="1B2A4A" w:val="clear"/>
            <w:tcMar>
              <w:top w:type="dxa" w:w="200"/>
              <w:left w:type="dxa" w:w="240"/>
              <w:bottom w:type="dxa" w:w="200"/>
              <w:right w:type="dxa" w:w="240"/>
            </w:tcMar>
          </w:tcPr>
          <w:p>
            <w:pPr>
              <w:spacing w:before="0" w:after="40"/>
            </w:pPr>
            <w:r>
              <w:rPr>
                <w:rFonts w:ascii="Arial" w:cs="Arial" w:eastAsia="Arial" w:hAnsi="Arial"/>
                <w:b/>
                <w:bCs/>
                <w:color w:val="C5972C"/>
                <w:sz w:val="18"/>
                <w:szCs w:val="18"/>
              </w:rPr>
              <w:t xml:space="preserve">FIRST UNDERWRITERS INSURANCE BROKERS</w:t>
            </w:r>
          </w:p>
          <w:p>
            <w:pPr>
              <w:spacing w:before="0" w:after="80"/>
            </w:pPr>
            <w:r>
              <w:rPr>
                <w:rFonts w:ascii="Arial" w:cs="Arial" w:eastAsia="Arial" w:hAnsi="Arial"/>
                <w:b/>
                <w:bCs/>
                <w:color w:val="FFFFFF"/>
                <w:sz w:val="44"/>
                <w:szCs w:val="44"/>
              </w:rPr>
              <w:t xml:space="preserve">Medical Provider Network</w:t>
            </w:r>
          </w:p>
          <w:p>
            <w:pPr>
              <w:spacing w:before="0" w:after="80"/>
            </w:pPr>
            <w:r>
              <w:rPr>
                <w:rFonts w:ascii="Arial" w:cs="Arial" w:eastAsia="Arial" w:hAnsi="Arial"/>
                <w:b/>
                <w:bCs/>
                <w:color w:val="FFFFFF"/>
                <w:sz w:val="36"/>
                <w:szCs w:val="36"/>
              </w:rPr>
              <w:t xml:space="preserve">Supervisor Training Guide</w:t>
            </w:r>
          </w:p>
          <w:p>
            <w:pPr>
              <w:spacing w:before="0" w:after="0"/>
            </w:pPr>
            <w:r>
              <w:rPr>
                <w:rFonts w:ascii="Arial" w:cs="Arial" w:eastAsia="Arial" w:hAnsi="Arial"/>
                <w:color w:val="C5972C"/>
                <w:sz w:val="22"/>
                <w:szCs w:val="22"/>
              </w:rPr>
              <w:t xml:space="preserve">Workers' Compensation Injury Response &amp; MPN Management</w:t>
            </w:r>
          </w:p>
        </w:tc>
      </w:tr>
    </w:tbl>
    <w:p>
      <w:pPr>
        <w:spacing w:before="0" w:after="12" w:line="276"/>
        <w:jc w:val="left"/>
      </w:pPr>
      <w:r>
        <w:rPr>
          <w:rFonts w:ascii="Arial" w:cs="Arial" w:eastAsia="Arial" w:hAnsi="Arial"/>
          <w:b w:val="false"/>
          <w:bCs w:val="false"/>
          <w:i w:val="false"/>
          <w:iCs w:val="false"/>
          <w:color w:val="2D2D2D"/>
          <w:sz w:val="22"/>
          <w:szCs w:val="22"/>
        </w:rPr>
        <w:t xml:space="preserve"/>
      </w:r>
    </w:p>
    <w:p>
      <w:pPr>
        <w:spacing w:before="0" w:after="160" w:line="276"/>
        <w:jc w:val="left"/>
      </w:pPr>
      <w:r>
        <w:rPr>
          <w:rFonts w:ascii="Arial" w:cs="Arial" w:eastAsia="Arial" w:hAnsi="Arial"/>
          <w:b w:val="false"/>
          <w:bCs w:val="false"/>
          <w:i w:val="false"/>
          <w:iCs w:val="false"/>
          <w:color w:val="2D2D2D"/>
          <w:sz w:val="22"/>
          <w:szCs w:val="22"/>
        </w:rPr>
        <w:t xml:space="preserve">This guide prepares supervisors to respond effectively when workplace injuries occur, direct injured workers to your Medical Provider Network (MPN), coordinate return to work, and meet all documentation and legal requirements. Supervisors are the most critical link in the workers' compensation process — your actions in the first hour after an injury significantly affect outcomes for the employee, the company, and the claim.</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360"/>
        <w:gridCol w:w="3360"/>
        <w:gridCol w:w="3360"/>
      </w:tblGrid>
      <w:tr>
        <w:tc>
          <w:tcPr>
            <w:tcW w:type="dxa" w:w="3360"/>
            <w:tcBorders>
              <w:top w:val="single" w:color="C5972C" w:sz="6"/>
              <w:left w:val="single" w:color="C5972C" w:sz="6"/>
              <w:bottom w:val="single" w:color="C5972C" w:sz="6"/>
              <w:right w:val="single" w:color="C5972C" w:sz="6"/>
            </w:tcBorders>
            <w:shd w:fill="1B2A4A" w:val="clear"/>
            <w:tcMar>
              <w:top w:type="dxa" w:w="120"/>
              <w:left w:type="dxa" w:w="120"/>
              <w:bottom w:type="dxa" w:w="120"/>
              <w:right w:type="dxa" w:w="120"/>
            </w:tcMar>
            <w:vAlign w:val="center"/>
          </w:tcPr>
          <w:p>
            <w:pPr>
              <w:spacing w:before="0" w:after="20"/>
              <w:jc w:val="center"/>
            </w:pPr>
            <w:r>
              <w:rPr>
                <w:rFonts w:ascii="Arial" w:cs="Arial" w:eastAsia="Arial" w:hAnsi="Arial"/>
                <w:b/>
                <w:bCs/>
                <w:color w:val="C5972C"/>
                <w:sz w:val="32"/>
                <w:szCs w:val="32"/>
              </w:rPr>
              <w:t xml:space="preserve">1st Hour</w:t>
            </w:r>
          </w:p>
          <w:p>
            <w:pPr>
              <w:spacing w:before="0" w:after="0"/>
              <w:jc w:val="center"/>
            </w:pPr>
            <w:r>
              <w:rPr>
                <w:rFonts w:ascii="Arial" w:cs="Arial" w:eastAsia="Arial" w:hAnsi="Arial"/>
                <w:color w:val="FFFFFF"/>
                <w:sz w:val="18"/>
                <w:szCs w:val="18"/>
              </w:rPr>
              <w:t xml:space="preserve">Sets the entire tone of the claim</w:t>
            </w:r>
          </w:p>
        </w:tc>
        <w:tc>
          <w:tcPr>
            <w:tcW w:type="dxa" w:w="3360"/>
            <w:tcBorders>
              <w:top w:val="single" w:color="C5972C" w:sz="6"/>
              <w:left w:val="single" w:color="C5972C" w:sz="6"/>
              <w:bottom w:val="single" w:color="C5972C" w:sz="6"/>
              <w:right w:val="single" w:color="C5972C" w:sz="6"/>
            </w:tcBorders>
            <w:shd w:fill="1B2A4A" w:val="clear"/>
            <w:tcMar>
              <w:top w:type="dxa" w:w="120"/>
              <w:left w:type="dxa" w:w="120"/>
              <w:bottom w:type="dxa" w:w="120"/>
              <w:right w:type="dxa" w:w="120"/>
            </w:tcMar>
            <w:vAlign w:val="center"/>
          </w:tcPr>
          <w:p>
            <w:pPr>
              <w:spacing w:before="0" w:after="20"/>
              <w:jc w:val="center"/>
            </w:pPr>
            <w:r>
              <w:rPr>
                <w:rFonts w:ascii="Arial" w:cs="Arial" w:eastAsia="Arial" w:hAnsi="Arial"/>
                <w:b/>
                <w:bCs/>
                <w:color w:val="C5972C"/>
                <w:sz w:val="32"/>
                <w:szCs w:val="32"/>
              </w:rPr>
              <w:t xml:space="preserve">25–35%</w:t>
            </w:r>
          </w:p>
          <w:p>
            <w:pPr>
              <w:spacing w:before="0" w:after="0"/>
              <w:jc w:val="center"/>
            </w:pPr>
            <w:r>
              <w:rPr>
                <w:rFonts w:ascii="Arial" w:cs="Arial" w:eastAsia="Arial" w:hAnsi="Arial"/>
                <w:color w:val="FFFFFF"/>
                <w:sz w:val="18"/>
                <w:szCs w:val="18"/>
              </w:rPr>
              <w:t xml:space="preserve">Cost reduction with effective MPN</w:t>
            </w:r>
          </w:p>
        </w:tc>
        <w:tc>
          <w:tcPr>
            <w:tcW w:type="dxa" w:w="3360"/>
            <w:tcBorders>
              <w:top w:val="single" w:color="C5972C" w:sz="6"/>
              <w:left w:val="single" w:color="C5972C" w:sz="6"/>
              <w:bottom w:val="single" w:color="C5972C" w:sz="6"/>
              <w:right w:val="single" w:color="C5972C" w:sz="6"/>
            </w:tcBorders>
            <w:shd w:fill="1B2A4A" w:val="clear"/>
            <w:tcMar>
              <w:top w:type="dxa" w:w="120"/>
              <w:left w:type="dxa" w:w="120"/>
              <w:bottom w:type="dxa" w:w="120"/>
              <w:right w:type="dxa" w:w="120"/>
            </w:tcMar>
            <w:vAlign w:val="center"/>
          </w:tcPr>
          <w:p>
            <w:pPr>
              <w:spacing w:before="0" w:after="20"/>
              <w:jc w:val="center"/>
            </w:pPr>
            <w:r>
              <w:rPr>
                <w:rFonts w:ascii="Arial" w:cs="Arial" w:eastAsia="Arial" w:hAnsi="Arial"/>
                <w:b/>
                <w:bCs/>
                <w:color w:val="C5972C"/>
                <w:sz w:val="32"/>
                <w:szCs w:val="32"/>
              </w:rPr>
              <w:t xml:space="preserve">40%</w:t>
            </w:r>
          </w:p>
          <w:p>
            <w:pPr>
              <w:spacing w:before="0" w:after="0"/>
              <w:jc w:val="center"/>
            </w:pPr>
            <w:r>
              <w:rPr>
                <w:rFonts w:ascii="Arial" w:cs="Arial" w:eastAsia="Arial" w:hAnsi="Arial"/>
                <w:color w:val="FFFFFF"/>
                <w:sz w:val="18"/>
                <w:szCs w:val="18"/>
              </w:rPr>
              <w:t xml:space="preserve">Faster return to work with MPN</w:t>
            </w:r>
          </w:p>
        </w:tc>
      </w:tr>
    </w:tbl>
    <w:p>
      <w:pPr>
        <w:spacing w:before="0" w:after="16" w:line="276"/>
        <w:jc w:val="left"/>
      </w:pPr>
      <w:r>
        <w:rPr>
          <w:rFonts w:ascii="Arial" w:cs="Arial" w:eastAsia="Arial" w:hAnsi="Arial"/>
          <w:b w:val="false"/>
          <w:bCs w:val="false"/>
          <w:i w:val="false"/>
          <w:iCs w:val="false"/>
          <w:color w:val="2D2D2D"/>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00"/>
        <w:gridCol w:w="9480"/>
      </w:tblGrid>
      <w:tr>
        <w:tc>
          <w:tcPr>
            <w:tcW w:type="dxa" w:w="600"/>
            <w:tcBorders>
              <w:top w:val="none" w:color="FFFFFF" w:sz="0"/>
              <w:left w:val="none" w:color="FFFFFF" w:sz="0"/>
              <w:bottom w:val="none" w:color="FFFFFF" w:sz="0"/>
              <w:right w:val="none" w:color="FFFFFF" w:sz="0"/>
            </w:tcBorders>
            <w:shd w:fill="C5972C" w:val="clear"/>
            <w:tcMar>
              <w:top w:type="dxa" w:w="80"/>
              <w:left w:type="dxa" w:w="120"/>
              <w:bottom w:type="dxa" w:w="80"/>
              <w:right w:type="dxa" w:w="120"/>
            </w:tcMar>
            <w:vAlign w:val="center"/>
          </w:tcPr>
          <w:p>
            <w:pPr>
              <w:spacing w:before="0" w:after="0"/>
              <w:jc w:val="center"/>
            </w:pPr>
            <w:r>
              <w:rPr>
                <w:rFonts w:ascii="Arial" w:cs="Arial" w:eastAsia="Arial" w:hAnsi="Arial"/>
                <w:b/>
                <w:bCs/>
                <w:color w:val="1B2A4A"/>
                <w:sz w:val="32"/>
                <w:szCs w:val="32"/>
              </w:rPr>
              <w:t xml:space="preserve">1</w:t>
            </w:r>
          </w:p>
        </w:tc>
        <w:tc>
          <w:tcPr>
            <w:tcW w:type="dxa" w:w="9480"/>
            <w:tcBorders>
              <w:top w:val="none" w:color="FFFFFF" w:sz="0"/>
              <w:left w:val="none" w:color="FFFFFF" w:sz="0"/>
              <w:bottom w:val="none" w:color="FFFFFF" w:sz="0"/>
              <w:right w:val="none" w:color="FFFFFF" w:sz="0"/>
            </w:tcBorders>
            <w:shd w:fill="1B2A4A" w:val="clear"/>
            <w:tcMar>
              <w:top w:type="dxa" w:w="80"/>
              <w:left w:type="dxa" w:w="160"/>
              <w:bottom w:type="dxa" w:w="80"/>
              <w:right w:type="dxa" w:w="120"/>
            </w:tcMar>
            <w:vAlign w:val="center"/>
          </w:tcPr>
          <w:p>
            <w:pPr>
              <w:spacing w:before="0" w:after="0"/>
            </w:pPr>
            <w:r>
              <w:rPr>
                <w:rFonts w:ascii="Arial" w:cs="Arial" w:eastAsia="Arial" w:hAnsi="Arial"/>
                <w:b/>
                <w:bCs/>
                <w:color w:val="FFFFFF"/>
                <w:sz w:val="24"/>
                <w:szCs w:val="24"/>
              </w:rPr>
              <w:t xml:space="preserve">IMMEDIATE INJURY RESPONSE — THE FIRST 15 MINUTES</w:t>
            </w:r>
          </w:p>
        </w:tc>
      </w:tr>
    </w:tbl>
    <w:p>
      <w:pPr>
        <w:spacing w:before="0" w:after="8" w:line="276"/>
        <w:jc w:val="left"/>
      </w:pPr>
      <w:r>
        <w:rPr>
          <w:rFonts w:ascii="Arial" w:cs="Arial" w:eastAsia="Arial" w:hAnsi="Arial"/>
          <w:b w:val="false"/>
          <w:bCs w:val="false"/>
          <w:i w:val="false"/>
          <w:iCs w:val="false"/>
          <w:color w:val="2D2D2D"/>
          <w:sz w:val="22"/>
          <w:szCs w:val="22"/>
        </w:rPr>
        <w:t xml:space="preserve"/>
      </w:r>
    </w:p>
    <w:p>
      <w:pPr>
        <w:spacing w:before="0" w:after="120" w:line="276"/>
        <w:jc w:val="left"/>
      </w:pPr>
      <w:r>
        <w:rPr>
          <w:rFonts w:ascii="Arial" w:cs="Arial" w:eastAsia="Arial" w:hAnsi="Arial"/>
          <w:b w:val="false"/>
          <w:bCs w:val="false"/>
          <w:i w:val="false"/>
          <w:iCs w:val="false"/>
          <w:color w:val="2D2D2D"/>
          <w:sz w:val="22"/>
          <w:szCs w:val="22"/>
        </w:rPr>
        <w:t xml:space="preserve">When a workplace injury occurs, your response in the first 15 minutes is critical. Stay calm, prioritize the employee's safety, and follow this sequence every time — regardless of how minor the injury appears.</w:t>
      </w:r>
    </w:p>
    <w:p>
      <w:pPr>
        <w:pStyle w:val="Heading2"/>
        <w:pBdr>
          <w:bottom w:val="single" w:color="C5972C" w:sz="6" w:space="3"/>
        </w:pBdr>
        <w:spacing w:before="240" w:after="100"/>
      </w:pPr>
      <w:r>
        <w:rPr>
          <w:rFonts w:ascii="Arial" w:cs="Arial" w:eastAsia="Arial" w:hAnsi="Arial"/>
          <w:b/>
          <w:bCs/>
          <w:color w:val="1B2A4A"/>
          <w:sz w:val="24"/>
          <w:szCs w:val="24"/>
        </w:rPr>
        <w:t xml:space="preserve">Step-by-Step Response Protocol</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2400"/>
        <w:gridCol w:w="7680"/>
      </w:tblGrid>
      <w:tr>
        <w:tc>
          <w:tcPr>
            <w:tcW w:type="dxa" w:w="2400"/>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ACTION</w:t>
            </w:r>
          </w:p>
        </w:tc>
        <w:tc>
          <w:tcPr>
            <w:tcW w:type="dxa" w:w="7680"/>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WHAT TO DO</w:t>
            </w:r>
          </w:p>
        </w:tc>
      </w:tr>
      <w:tr>
        <w:tc>
          <w:tcPr>
            <w:tcW w:type="dxa" w:w="2400"/>
            <w:tcBorders>
              <w:top w:val="single" w:color="CCCCCC" w:sz="4"/>
              <w:left w:val="single" w:color="CCCCCC" w:sz="4"/>
              <w:bottom w:val="single" w:color="CCCCCC" w:sz="4"/>
              <w:right w:val="single" w:color="CCCCCC" w:sz="4"/>
            </w:tcBorders>
            <w:shd w:fill="F0F3F8" w:val="clear"/>
            <w:tcMar>
              <w:top w:type="dxa" w:w="100"/>
              <w:left w:type="dxa" w:w="120"/>
              <w:bottom w:type="dxa" w:w="100"/>
              <w:right w:type="dxa" w:w="120"/>
            </w:tcMar>
          </w:tcPr>
          <w:p>
            <w:pPr>
              <w:spacing w:before="0" w:after="0"/>
            </w:pPr>
            <w:r>
              <w:rPr>
                <w:rFonts w:ascii="Arial" w:cs="Arial" w:eastAsia="Arial" w:hAnsi="Arial"/>
                <w:b/>
                <w:bCs/>
                <w:color w:val="1B2A4A"/>
                <w:sz w:val="21"/>
                <w:szCs w:val="21"/>
              </w:rPr>
              <w:t xml:space="preserve">Step 1 — Assess Safety</w:t>
            </w:r>
          </w:p>
        </w:tc>
        <w:tc>
          <w:tcPr>
            <w:tcW w:type="dxa" w:w="7680"/>
            <w:tcBorders>
              <w:top w:val="single" w:color="CCCCCC" w:sz="4"/>
              <w:left w:val="single" w:color="CCCCCC" w:sz="4"/>
              <w:bottom w:val="single" w:color="CCCCCC" w:sz="4"/>
              <w:right w:val="single" w:color="CCCCCC" w:sz="4"/>
            </w:tcBorders>
            <w:shd w:fill="F0F3F8" w:val="clear"/>
            <w:tcMar>
              <w:top w:type="dxa" w:w="100"/>
              <w:left w:type="dxa" w:w="120"/>
              <w:bottom w:type="dxa" w:w="10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Ensure the scene is safe before approaching. If hazards remain (energized equipment, chemical spill, unstable structure), address them before attending to the injured employee. Never risk a second injury.</w:t>
            </w:r>
          </w:p>
        </w:tc>
      </w:tr>
      <w:tr>
        <w:tc>
          <w:tcPr>
            <w:tcW w:type="dxa" w:w="2400"/>
            <w:tcBorders>
              <w:top w:val="single" w:color="CCCCCC" w:sz="4"/>
              <w:left w:val="single" w:color="CCCCCC" w:sz="4"/>
              <w:bottom w:val="single" w:color="CCCCCC" w:sz="4"/>
              <w:right w:val="single" w:color="CCCCCC" w:sz="4"/>
            </w:tcBorders>
            <w:shd w:fill="FFFFFF" w:val="clear"/>
            <w:tcMar>
              <w:top w:type="dxa" w:w="100"/>
              <w:left w:type="dxa" w:w="120"/>
              <w:bottom w:type="dxa" w:w="100"/>
              <w:right w:type="dxa" w:w="120"/>
            </w:tcMar>
          </w:tcPr>
          <w:p>
            <w:pPr>
              <w:spacing w:before="0" w:after="0"/>
            </w:pPr>
            <w:r>
              <w:rPr>
                <w:rFonts w:ascii="Arial" w:cs="Arial" w:eastAsia="Arial" w:hAnsi="Arial"/>
                <w:b/>
                <w:bCs/>
                <w:color w:val="1B2A4A"/>
                <w:sz w:val="21"/>
                <w:szCs w:val="21"/>
              </w:rPr>
              <w:t xml:space="preserve">Step 2 — Provide First Aid</w:t>
            </w:r>
          </w:p>
        </w:tc>
        <w:tc>
          <w:tcPr>
            <w:tcW w:type="dxa" w:w="7680"/>
            <w:tcBorders>
              <w:top w:val="single" w:color="CCCCCC" w:sz="4"/>
              <w:left w:val="single" w:color="CCCCCC" w:sz="4"/>
              <w:bottom w:val="single" w:color="CCCCCC" w:sz="4"/>
              <w:right w:val="single" w:color="CCCCCC" w:sz="4"/>
            </w:tcBorders>
            <w:shd w:fill="FFFFFF" w:val="clear"/>
            <w:tcMar>
              <w:top w:type="dxa" w:w="100"/>
              <w:left w:type="dxa" w:w="120"/>
              <w:bottom w:type="dxa" w:w="10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Administer first aid appropriate to the injury. Your workplace should have a stocked first aid kit and trained first aid personnel. Do not move someone with a potential spinal injury unless they are in immediate danger.</w:t>
            </w:r>
          </w:p>
        </w:tc>
      </w:tr>
      <w:tr>
        <w:tc>
          <w:tcPr>
            <w:tcW w:type="dxa" w:w="2400"/>
            <w:tcBorders>
              <w:top w:val="single" w:color="CCCCCC" w:sz="4"/>
              <w:left w:val="single" w:color="CCCCCC" w:sz="4"/>
              <w:bottom w:val="single" w:color="CCCCCC" w:sz="4"/>
              <w:right w:val="single" w:color="CCCCCC" w:sz="4"/>
            </w:tcBorders>
            <w:shd w:fill="F0F3F8" w:val="clear"/>
            <w:tcMar>
              <w:top w:type="dxa" w:w="100"/>
              <w:left w:type="dxa" w:w="120"/>
              <w:bottom w:type="dxa" w:w="100"/>
              <w:right w:type="dxa" w:w="120"/>
            </w:tcMar>
          </w:tcPr>
          <w:p>
            <w:pPr>
              <w:spacing w:before="0" w:after="0"/>
            </w:pPr>
            <w:r>
              <w:rPr>
                <w:rFonts w:ascii="Arial" w:cs="Arial" w:eastAsia="Arial" w:hAnsi="Arial"/>
                <w:b/>
                <w:bCs/>
                <w:color w:val="1B2A4A"/>
                <w:sz w:val="21"/>
                <w:szCs w:val="21"/>
              </w:rPr>
              <w:t xml:space="preserve">Step 3 — Call 911 if Needed</w:t>
            </w:r>
          </w:p>
        </w:tc>
        <w:tc>
          <w:tcPr>
            <w:tcW w:type="dxa" w:w="7680"/>
            <w:tcBorders>
              <w:top w:val="single" w:color="CCCCCC" w:sz="4"/>
              <w:left w:val="single" w:color="CCCCCC" w:sz="4"/>
              <w:bottom w:val="single" w:color="CCCCCC" w:sz="4"/>
              <w:right w:val="single" w:color="CCCCCC" w:sz="4"/>
            </w:tcBorders>
            <w:shd w:fill="F0F3F8" w:val="clear"/>
            <w:tcMar>
              <w:top w:type="dxa" w:w="100"/>
              <w:left w:type="dxa" w:w="120"/>
              <w:bottom w:type="dxa" w:w="10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Call 911 immediately for: unconsciousness, chest pain, difficulty breathing, severe bleeding, suspected fractures, eye injuries, head trauma, or any injury you believe requires emergency care. When in doubt, call.</w:t>
            </w:r>
          </w:p>
        </w:tc>
      </w:tr>
      <w:tr>
        <w:tc>
          <w:tcPr>
            <w:tcW w:type="dxa" w:w="2400"/>
            <w:tcBorders>
              <w:top w:val="single" w:color="CCCCCC" w:sz="4"/>
              <w:left w:val="single" w:color="CCCCCC" w:sz="4"/>
              <w:bottom w:val="single" w:color="CCCCCC" w:sz="4"/>
              <w:right w:val="single" w:color="CCCCCC" w:sz="4"/>
            </w:tcBorders>
            <w:shd w:fill="FFFFFF" w:val="clear"/>
            <w:tcMar>
              <w:top w:type="dxa" w:w="100"/>
              <w:left w:type="dxa" w:w="120"/>
              <w:bottom w:type="dxa" w:w="100"/>
              <w:right w:type="dxa" w:w="120"/>
            </w:tcMar>
          </w:tcPr>
          <w:p>
            <w:pPr>
              <w:spacing w:before="0" w:after="0"/>
            </w:pPr>
            <w:r>
              <w:rPr>
                <w:rFonts w:ascii="Arial" w:cs="Arial" w:eastAsia="Arial" w:hAnsi="Arial"/>
                <w:b/>
                <w:bCs/>
                <w:color w:val="1B2A4A"/>
                <w:sz w:val="21"/>
                <w:szCs w:val="21"/>
              </w:rPr>
              <w:t xml:space="preserve">Step 4 — Notify Your Manager</w:t>
            </w:r>
          </w:p>
        </w:tc>
        <w:tc>
          <w:tcPr>
            <w:tcW w:type="dxa" w:w="7680"/>
            <w:tcBorders>
              <w:top w:val="single" w:color="CCCCCC" w:sz="4"/>
              <w:left w:val="single" w:color="CCCCCC" w:sz="4"/>
              <w:bottom w:val="single" w:color="CCCCCC" w:sz="4"/>
              <w:right w:val="single" w:color="CCCCCC" w:sz="4"/>
            </w:tcBorders>
            <w:shd w:fill="FFFFFF" w:val="clear"/>
            <w:tcMar>
              <w:top w:type="dxa" w:w="100"/>
              <w:left w:type="dxa" w:w="120"/>
              <w:bottom w:type="dxa" w:w="10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Call your manager or HR immediately — even before the employee leaves for treatment. Early notification triggers the claims process and ensures proper documentation.</w:t>
            </w:r>
          </w:p>
        </w:tc>
      </w:tr>
      <w:tr>
        <w:tc>
          <w:tcPr>
            <w:tcW w:type="dxa" w:w="2400"/>
            <w:tcBorders>
              <w:top w:val="single" w:color="CCCCCC" w:sz="4"/>
              <w:left w:val="single" w:color="CCCCCC" w:sz="4"/>
              <w:bottom w:val="single" w:color="CCCCCC" w:sz="4"/>
              <w:right w:val="single" w:color="CCCCCC" w:sz="4"/>
            </w:tcBorders>
            <w:shd w:fill="F0F3F8" w:val="clear"/>
            <w:tcMar>
              <w:top w:type="dxa" w:w="100"/>
              <w:left w:type="dxa" w:w="120"/>
              <w:bottom w:type="dxa" w:w="100"/>
              <w:right w:type="dxa" w:w="120"/>
            </w:tcMar>
          </w:tcPr>
          <w:p>
            <w:pPr>
              <w:spacing w:before="0" w:after="0"/>
            </w:pPr>
            <w:r>
              <w:rPr>
                <w:rFonts w:ascii="Arial" w:cs="Arial" w:eastAsia="Arial" w:hAnsi="Arial"/>
                <w:b/>
                <w:bCs/>
                <w:color w:val="1B2A4A"/>
                <w:sz w:val="21"/>
                <w:szCs w:val="21"/>
              </w:rPr>
              <w:t xml:space="preserve">Step 5 — Direct to MPN Provider</w:t>
            </w:r>
          </w:p>
        </w:tc>
        <w:tc>
          <w:tcPr>
            <w:tcW w:type="dxa" w:w="7680"/>
            <w:tcBorders>
              <w:top w:val="single" w:color="CCCCCC" w:sz="4"/>
              <w:left w:val="single" w:color="CCCCCC" w:sz="4"/>
              <w:bottom w:val="single" w:color="CCCCCC" w:sz="4"/>
              <w:right w:val="single" w:color="CCCCCC" w:sz="4"/>
            </w:tcBorders>
            <w:shd w:fill="F0F3F8" w:val="clear"/>
            <w:tcMar>
              <w:top w:type="dxa" w:w="100"/>
              <w:left w:type="dxa" w:w="120"/>
              <w:bottom w:type="dxa" w:w="10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For non-emergency injuries, direct the employee to your designated MPN clinic. Provide the employee with the MPN clinic address, phone number, and a completed first report form. Do not let them choose an outside provider without authorization.</w:t>
            </w:r>
          </w:p>
        </w:tc>
      </w:tr>
      <w:tr>
        <w:tc>
          <w:tcPr>
            <w:tcW w:type="dxa" w:w="2400"/>
            <w:tcBorders>
              <w:top w:val="single" w:color="CCCCCC" w:sz="4"/>
              <w:left w:val="single" w:color="CCCCCC" w:sz="4"/>
              <w:bottom w:val="single" w:color="CCCCCC" w:sz="4"/>
              <w:right w:val="single" w:color="CCCCCC" w:sz="4"/>
            </w:tcBorders>
            <w:shd w:fill="FFFFFF" w:val="clear"/>
            <w:tcMar>
              <w:top w:type="dxa" w:w="100"/>
              <w:left w:type="dxa" w:w="120"/>
              <w:bottom w:type="dxa" w:w="100"/>
              <w:right w:type="dxa" w:w="120"/>
            </w:tcMar>
          </w:tcPr>
          <w:p>
            <w:pPr>
              <w:spacing w:before="0" w:after="0"/>
            </w:pPr>
            <w:r>
              <w:rPr>
                <w:rFonts w:ascii="Arial" w:cs="Arial" w:eastAsia="Arial" w:hAnsi="Arial"/>
                <w:b/>
                <w:bCs/>
                <w:color w:val="1B2A4A"/>
                <w:sz w:val="21"/>
                <w:szCs w:val="21"/>
              </w:rPr>
              <w:t xml:space="preserve">Step 6 — Document Everything</w:t>
            </w:r>
          </w:p>
        </w:tc>
        <w:tc>
          <w:tcPr>
            <w:tcW w:type="dxa" w:w="7680"/>
            <w:tcBorders>
              <w:top w:val="single" w:color="CCCCCC" w:sz="4"/>
              <w:left w:val="single" w:color="CCCCCC" w:sz="4"/>
              <w:bottom w:val="single" w:color="CCCCCC" w:sz="4"/>
              <w:right w:val="single" w:color="CCCCCC" w:sz="4"/>
            </w:tcBorders>
            <w:shd w:fill="FFFFFF" w:val="clear"/>
            <w:tcMar>
              <w:top w:type="dxa" w:w="100"/>
              <w:left w:type="dxa" w:w="120"/>
              <w:bottom w:type="dxa" w:w="10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Begin your incident report immediately. Do not wait. The details are freshest now. Record exact time, location, what the employee was doing, witnesses, and your observations.</w:t>
            </w:r>
          </w:p>
        </w:tc>
      </w:tr>
    </w:tbl>
    <w:p>
      <w:pPr>
        <w:spacing w:before="0" w:after="12" w:line="276"/>
        <w:jc w:val="left"/>
      </w:pPr>
      <w:r>
        <w:rPr>
          <w:rFonts w:ascii="Arial" w:cs="Arial" w:eastAsia="Arial" w:hAnsi="Arial"/>
          <w:b w:val="false"/>
          <w:bCs w:val="false"/>
          <w:i w:val="false"/>
          <w:iCs w:val="false"/>
          <w:color w:val="2D2D2D"/>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991B1B" w:sz="8"/>
              <w:left w:val="single" w:color="991B1B" w:sz="8"/>
              <w:bottom w:val="single" w:color="991B1B" w:sz="4"/>
              <w:right w:val="single" w:color="991B1B" w:sz="4"/>
            </w:tcBorders>
            <w:shd w:fill="FEF2F2" w:val="clear"/>
            <w:tcMar>
              <w:top w:type="dxa" w:w="120"/>
              <w:left w:type="dxa" w:w="160"/>
              <w:bottom w:type="dxa" w:w="120"/>
              <w:right w:type="dxa" w:w="160"/>
            </w:tcMar>
          </w:tcPr>
          <w:p>
            <w:pPr>
              <w:spacing w:before="0" w:after="80"/>
            </w:pPr>
            <w:r>
              <w:rPr>
                <w:rFonts w:ascii="Arial" w:cs="Arial" w:eastAsia="Arial" w:hAnsi="Arial"/>
                <w:b/>
                <w:bCs/>
                <w:color w:val="991B1B"/>
                <w:sz w:val="22"/>
                <w:szCs w:val="22"/>
              </w:rPr>
              <w:t xml:space="preserve">⚠  When to Call 911 — Never Hesitate</w:t>
            </w:r>
          </w:p>
          <w:p>
            <w:pPr>
              <w:spacing w:before="0" w:after="60" w:line="276"/>
              <w:jc w:val="left"/>
            </w:pPr>
            <w:r>
              <w:rPr>
                <w:rFonts w:ascii="Arial" w:cs="Arial" w:eastAsia="Arial" w:hAnsi="Arial"/>
                <w:b w:val="false"/>
                <w:bCs w:val="false"/>
                <w:i w:val="false"/>
                <w:iCs w:val="false"/>
                <w:color w:val="2D2D2D"/>
                <w:sz w:val="21"/>
                <w:szCs w:val="21"/>
              </w:rPr>
              <w:t xml:space="preserve">Unconsciousness or loss of responsiveness</w:t>
            </w:r>
          </w:p>
          <w:p>
            <w:pPr>
              <w:spacing w:before="0" w:after="60" w:line="276"/>
              <w:jc w:val="left"/>
            </w:pPr>
            <w:r>
              <w:rPr>
                <w:rFonts w:ascii="Arial" w:cs="Arial" w:eastAsia="Arial" w:hAnsi="Arial"/>
                <w:b w:val="false"/>
                <w:bCs w:val="false"/>
                <w:i w:val="false"/>
                <w:iCs w:val="false"/>
                <w:color w:val="2D2D2D"/>
                <w:sz w:val="21"/>
                <w:szCs w:val="21"/>
              </w:rPr>
              <w:t xml:space="preserve">Chest pain, difficulty breathing, or suspected heart attack</w:t>
            </w:r>
          </w:p>
          <w:p>
            <w:pPr>
              <w:spacing w:before="0" w:after="60" w:line="276"/>
              <w:jc w:val="left"/>
            </w:pPr>
            <w:r>
              <w:rPr>
                <w:rFonts w:ascii="Arial" w:cs="Arial" w:eastAsia="Arial" w:hAnsi="Arial"/>
                <w:b w:val="false"/>
                <w:bCs w:val="false"/>
                <w:i w:val="false"/>
                <w:iCs w:val="false"/>
                <w:color w:val="2D2D2D"/>
                <w:sz w:val="21"/>
                <w:szCs w:val="21"/>
              </w:rPr>
              <w:t xml:space="preserve">Severe or uncontrolled bleeding</w:t>
            </w:r>
          </w:p>
          <w:p>
            <w:pPr>
              <w:spacing w:before="0" w:after="60" w:line="276"/>
              <w:jc w:val="left"/>
            </w:pPr>
            <w:r>
              <w:rPr>
                <w:rFonts w:ascii="Arial" w:cs="Arial" w:eastAsia="Arial" w:hAnsi="Arial"/>
                <w:b w:val="false"/>
                <w:bCs w:val="false"/>
                <w:i w:val="false"/>
                <w:iCs w:val="false"/>
                <w:color w:val="2D2D2D"/>
                <w:sz w:val="21"/>
                <w:szCs w:val="21"/>
              </w:rPr>
              <w:t xml:space="preserve">Suspected head, neck, or spinal injury</w:t>
            </w:r>
          </w:p>
          <w:p>
            <w:pPr>
              <w:spacing w:before="0" w:after="60" w:line="276"/>
              <w:jc w:val="left"/>
            </w:pPr>
            <w:r>
              <w:rPr>
                <w:rFonts w:ascii="Arial" w:cs="Arial" w:eastAsia="Arial" w:hAnsi="Arial"/>
                <w:b w:val="false"/>
                <w:bCs w:val="false"/>
                <w:i w:val="false"/>
                <w:iCs w:val="false"/>
                <w:color w:val="2D2D2D"/>
                <w:sz w:val="21"/>
                <w:szCs w:val="21"/>
              </w:rPr>
              <w:t xml:space="preserve">Eye injury or exposure to chemicals</w:t>
            </w:r>
          </w:p>
          <w:p>
            <w:pPr>
              <w:spacing w:before="0" w:after="60" w:line="276"/>
              <w:jc w:val="left"/>
            </w:pPr>
            <w:r>
              <w:rPr>
                <w:rFonts w:ascii="Arial" w:cs="Arial" w:eastAsia="Arial" w:hAnsi="Arial"/>
                <w:b w:val="false"/>
                <w:bCs w:val="false"/>
                <w:i w:val="false"/>
                <w:iCs w:val="false"/>
                <w:color w:val="2D2D2D"/>
                <w:sz w:val="21"/>
                <w:szCs w:val="21"/>
              </w:rPr>
              <w:t xml:space="preserve">Suspected fractures, especially of the spine, pelvis, or lower extremities</w:t>
            </w:r>
          </w:p>
          <w:p>
            <w:pPr>
              <w:spacing w:before="0" w:after="60" w:line="276"/>
              <w:jc w:val="left"/>
            </w:pPr>
            <w:r>
              <w:rPr>
                <w:rFonts w:ascii="Arial" w:cs="Arial" w:eastAsia="Arial" w:hAnsi="Arial"/>
                <w:b w:val="false"/>
                <w:bCs w:val="false"/>
                <w:i w:val="false"/>
                <w:iCs w:val="false"/>
                <w:color w:val="2D2D2D"/>
                <w:sz w:val="21"/>
                <w:szCs w:val="21"/>
              </w:rPr>
              <w:t xml:space="preserve">Any injury where you have doubt about the employee's stability</w:t>
            </w:r>
          </w:p>
          <w:p>
            <w:pPr>
              <w:spacing w:before="0" w:after="60" w:line="276"/>
              <w:jc w:val="left"/>
            </w:pPr>
            <w:r>
              <w:rPr>
                <w:rFonts w:ascii="Arial" w:cs="Arial" w:eastAsia="Arial" w:hAnsi="Arial"/>
                <w:b/>
                <w:bCs/>
                <w:i w:val="false"/>
                <w:iCs w:val="false"/>
                <w:color w:val="2D2D2D"/>
                <w:sz w:val="21"/>
                <w:szCs w:val="21"/>
              </w:rPr>
              <w:t xml:space="preserve">MPN requirements do not apply to emergency treatment.</w:t>
            </w:r>
            <w:r>
              <w:rPr>
                <w:rFonts w:ascii="Arial" w:cs="Arial" w:eastAsia="Arial" w:hAnsi="Arial"/>
                <w:b w:val="false"/>
                <w:bCs w:val="false"/>
                <w:i w:val="false"/>
                <w:iCs w:val="false"/>
                <w:color w:val="2D2D2D"/>
                <w:sz w:val="21"/>
                <w:szCs w:val="21"/>
              </w:rPr>
              <w:t xml:space="preserve"> Always prioritize life safety.</w:t>
            </w:r>
          </w:p>
        </w:tc>
      </w:tr>
    </w:tbl>
    <w:p>
      <w:pPr>
        <w:spacing w:before="0" w:after="14" w:line="276"/>
        <w:jc w:val="left"/>
      </w:pPr>
      <w:r>
        <w:rPr>
          <w:rFonts w:ascii="Arial" w:cs="Arial" w:eastAsia="Arial" w:hAnsi="Arial"/>
          <w:b w:val="false"/>
          <w:bCs w:val="false"/>
          <w:i w:val="false"/>
          <w:iCs w:val="false"/>
          <w:color w:val="2D2D2D"/>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00"/>
        <w:gridCol w:w="9480"/>
      </w:tblGrid>
      <w:tr>
        <w:tc>
          <w:tcPr>
            <w:tcW w:type="dxa" w:w="600"/>
            <w:tcBorders>
              <w:top w:val="none" w:color="FFFFFF" w:sz="0"/>
              <w:left w:val="none" w:color="FFFFFF" w:sz="0"/>
              <w:bottom w:val="none" w:color="FFFFFF" w:sz="0"/>
              <w:right w:val="none" w:color="FFFFFF" w:sz="0"/>
            </w:tcBorders>
            <w:shd w:fill="C5972C" w:val="clear"/>
            <w:tcMar>
              <w:top w:type="dxa" w:w="80"/>
              <w:left w:type="dxa" w:w="120"/>
              <w:bottom w:type="dxa" w:w="80"/>
              <w:right w:type="dxa" w:w="120"/>
            </w:tcMar>
            <w:vAlign w:val="center"/>
          </w:tcPr>
          <w:p>
            <w:pPr>
              <w:spacing w:before="0" w:after="0"/>
              <w:jc w:val="center"/>
            </w:pPr>
            <w:r>
              <w:rPr>
                <w:rFonts w:ascii="Arial" w:cs="Arial" w:eastAsia="Arial" w:hAnsi="Arial"/>
                <w:b/>
                <w:bCs/>
                <w:color w:val="1B2A4A"/>
                <w:sz w:val="32"/>
                <w:szCs w:val="32"/>
              </w:rPr>
              <w:t xml:space="preserve">2</w:t>
            </w:r>
          </w:p>
        </w:tc>
        <w:tc>
          <w:tcPr>
            <w:tcW w:type="dxa" w:w="9480"/>
            <w:tcBorders>
              <w:top w:val="none" w:color="FFFFFF" w:sz="0"/>
              <w:left w:val="none" w:color="FFFFFF" w:sz="0"/>
              <w:bottom w:val="none" w:color="FFFFFF" w:sz="0"/>
              <w:right w:val="none" w:color="FFFFFF" w:sz="0"/>
            </w:tcBorders>
            <w:shd w:fill="1B2A4A" w:val="clear"/>
            <w:tcMar>
              <w:top w:type="dxa" w:w="80"/>
              <w:left w:type="dxa" w:w="160"/>
              <w:bottom w:type="dxa" w:w="80"/>
              <w:right w:type="dxa" w:w="120"/>
            </w:tcMar>
            <w:vAlign w:val="center"/>
          </w:tcPr>
          <w:p>
            <w:pPr>
              <w:spacing w:before="0" w:after="0"/>
            </w:pPr>
            <w:r>
              <w:rPr>
                <w:rFonts w:ascii="Arial" w:cs="Arial" w:eastAsia="Arial" w:hAnsi="Arial"/>
                <w:b/>
                <w:bCs/>
                <w:color w:val="FFFFFF"/>
                <w:sz w:val="24"/>
                <w:szCs w:val="24"/>
              </w:rPr>
              <w:t xml:space="preserve">DIRECTING INJURED WORKERS TO THE MPN</w:t>
            </w:r>
          </w:p>
        </w:tc>
      </w:tr>
    </w:tbl>
    <w:p>
      <w:pPr>
        <w:spacing w:before="0" w:after="8" w:line="276"/>
        <w:jc w:val="left"/>
      </w:pPr>
      <w:r>
        <w:rPr>
          <w:rFonts w:ascii="Arial" w:cs="Arial" w:eastAsia="Arial" w:hAnsi="Arial"/>
          <w:b w:val="false"/>
          <w:bCs w:val="false"/>
          <w:i w:val="false"/>
          <w:iCs w:val="false"/>
          <w:color w:val="2D2D2D"/>
          <w:sz w:val="22"/>
          <w:szCs w:val="22"/>
        </w:rPr>
        <w:t xml:space="preserve"/>
      </w:r>
    </w:p>
    <w:p>
      <w:pPr>
        <w:spacing w:before="0" w:after="120" w:line="276"/>
        <w:jc w:val="left"/>
      </w:pPr>
      <w:r>
        <w:rPr>
          <w:rFonts w:ascii="Arial" w:cs="Arial" w:eastAsia="Arial" w:hAnsi="Arial"/>
          <w:b w:val="false"/>
          <w:bCs w:val="false"/>
          <w:i w:val="false"/>
          <w:iCs w:val="false"/>
          <w:color w:val="2D2D2D"/>
          <w:sz w:val="22"/>
          <w:szCs w:val="22"/>
        </w:rPr>
        <w:t xml:space="preserve">Your company's Medical Provider Network gives you the right to direct injured workers to qualified occupational health specialists. This is one of the most important cost-control tools in workers' compensation — but it only works if supervisors consistently use it.</w:t>
      </w:r>
    </w:p>
    <w:p>
      <w:pPr>
        <w:pStyle w:val="Heading2"/>
        <w:pBdr>
          <w:bottom w:val="single" w:color="C5972C" w:sz="6" w:space="3"/>
        </w:pBdr>
        <w:spacing w:before="240" w:after="100"/>
      </w:pPr>
      <w:r>
        <w:rPr>
          <w:rFonts w:ascii="Arial" w:cs="Arial" w:eastAsia="Arial" w:hAnsi="Arial"/>
          <w:b/>
          <w:bCs/>
          <w:color w:val="1B2A4A"/>
          <w:sz w:val="24"/>
          <w:szCs w:val="24"/>
        </w:rPr>
        <w:t xml:space="preserve">MPN Clinic Information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528"/>
        <w:gridCol w:w="6552"/>
      </w:tblGrid>
      <w:tr>
        <w:tc>
          <w:tcPr>
            <w:tcW w:type="dxa" w:w="3528"/>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Primary MPN Clinic</w:t>
            </w:r>
          </w:p>
        </w:tc>
        <w:tc>
          <w:tcPr>
            <w:tcW w:type="dxa" w:w="6552"/>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Complete before training distribution</w:t>
            </w:r>
          </w:p>
        </w:tc>
      </w:tr>
      <w:tr>
        <w:tc>
          <w:tcPr>
            <w:tcW w:type="dxa" w:w="3528"/>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Address</w:t>
            </w:r>
          </w:p>
        </w:tc>
        <w:tc>
          <w:tcPr>
            <w:tcW w:type="dxa" w:w="6552"/>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____________________________________________</w:t>
            </w:r>
          </w:p>
        </w:tc>
      </w:tr>
      <w:tr>
        <w:tc>
          <w:tcPr>
            <w:tcW w:type="dxa" w:w="3528"/>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Phone</w:t>
            </w:r>
          </w:p>
        </w:tc>
        <w:tc>
          <w:tcPr>
            <w:tcW w:type="dxa" w:w="6552"/>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____________________________________________</w:t>
            </w:r>
          </w:p>
        </w:tc>
      </w:tr>
      <w:tr>
        <w:tc>
          <w:tcPr>
            <w:tcW w:type="dxa" w:w="3528"/>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Hours</w:t>
            </w:r>
          </w:p>
        </w:tc>
        <w:tc>
          <w:tcPr>
            <w:tcW w:type="dxa" w:w="6552"/>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____________________________________________</w:t>
            </w:r>
          </w:p>
        </w:tc>
      </w:tr>
      <w:tr>
        <w:tc>
          <w:tcPr>
            <w:tcW w:type="dxa" w:w="3528"/>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After-Hours / Urgent Care</w:t>
            </w:r>
          </w:p>
        </w:tc>
        <w:tc>
          <w:tcPr>
            <w:tcW w:type="dxa" w:w="6552"/>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____________________________________________</w:t>
            </w:r>
          </w:p>
        </w:tc>
      </w:tr>
      <w:tr>
        <w:tc>
          <w:tcPr>
            <w:tcW w:type="dxa" w:w="3528"/>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Claims Adjuster Contact</w:t>
            </w:r>
          </w:p>
        </w:tc>
        <w:tc>
          <w:tcPr>
            <w:tcW w:type="dxa" w:w="6552"/>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____________________________________________</w:t>
            </w:r>
          </w:p>
        </w:tc>
      </w:tr>
      <w:tr>
        <w:tc>
          <w:tcPr>
            <w:tcW w:type="dxa" w:w="3528"/>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HR / Risk Manager</w:t>
            </w:r>
          </w:p>
        </w:tc>
        <w:tc>
          <w:tcPr>
            <w:tcW w:type="dxa" w:w="6552"/>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top"/>
          </w:tcPr>
          <w:p>
            <w:pPr>
              <w:spacing w:before="0" w:after="0"/>
            </w:pPr>
            <w:r>
              <w:rPr>
                <w:rFonts w:ascii="Arial" w:cs="Arial" w:eastAsia="Arial" w:hAnsi="Arial"/>
                <w:b w:val="false"/>
                <w:bCs w:val="false"/>
                <w:color w:val="2D2D2D"/>
                <w:sz w:val="21"/>
                <w:szCs w:val="21"/>
              </w:rPr>
              <w:t xml:space="preserve">____________________________________________</w:t>
            </w:r>
          </w:p>
        </w:tc>
      </w:tr>
    </w:tbl>
    <w:p>
      <w:pPr>
        <w:spacing w:before="0" w:after="12" w:line="276"/>
        <w:jc w:val="left"/>
      </w:pPr>
      <w:r>
        <w:rPr>
          <w:rFonts w:ascii="Arial" w:cs="Arial" w:eastAsia="Arial" w:hAnsi="Arial"/>
          <w:b w:val="false"/>
          <w:bCs w:val="false"/>
          <w:i w:val="false"/>
          <w:iCs w:val="false"/>
          <w:color w:val="2D2D2D"/>
          <w:sz w:val="22"/>
          <w:szCs w:val="22"/>
        </w:rPr>
        <w:t xml:space="preserve"/>
      </w:r>
    </w:p>
    <w:p>
      <w:pPr>
        <w:pStyle w:val="Heading2"/>
        <w:pBdr>
          <w:bottom w:val="single" w:color="C5972C" w:sz="6" w:space="3"/>
        </w:pBdr>
        <w:spacing w:before="240" w:after="100"/>
      </w:pPr>
      <w:r>
        <w:rPr>
          <w:rFonts w:ascii="Arial" w:cs="Arial" w:eastAsia="Arial" w:hAnsi="Arial"/>
          <w:b/>
          <w:bCs/>
          <w:color w:val="1B2A4A"/>
          <w:sz w:val="24"/>
          <w:szCs w:val="24"/>
        </w:rPr>
        <w:t xml:space="preserve">How to Direct an Employee to the MPN</w:t>
      </w:r>
    </w:p>
    <w:p>
      <w:pPr>
        <w:spacing w:before="0" w:after="60" w:line="276"/>
        <w:jc w:val="left"/>
      </w:pPr>
      <w:r>
        <w:rPr>
          <w:rFonts w:ascii="Arial" w:cs="Arial" w:eastAsia="Arial" w:hAnsi="Arial"/>
          <w:b/>
          <w:bCs/>
          <w:i w:val="false"/>
          <w:iCs w:val="false"/>
          <w:color w:val="2D2D2D"/>
          <w:sz w:val="22"/>
          <w:szCs w:val="22"/>
        </w:rPr>
        <w:t xml:space="preserve">What to say to the employee:</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C5972C" w:sz="8"/>
              <w:left w:val="single" w:color="C5972C" w:sz="8"/>
              <w:bottom w:val="single" w:color="C5972C" w:sz="4"/>
              <w:right w:val="single" w:color="C5972C" w:sz="4"/>
            </w:tcBorders>
            <w:shd w:fill="F0F3F8" w:val="clear"/>
            <w:tcMar>
              <w:top w:type="dxa" w:w="120"/>
              <w:left w:type="dxa" w:w="160"/>
              <w:bottom w:type="dxa" w:w="120"/>
              <w:right w:type="dxa" w:w="160"/>
            </w:tcMar>
          </w:tcPr>
          <w:p>
            <w:pPr>
              <w:spacing w:before="0" w:after="80"/>
            </w:pPr>
            <w:r>
              <w:rPr>
                <w:rFonts w:ascii="Arial" w:cs="Arial" w:eastAsia="Arial" w:hAnsi="Arial"/>
                <w:b/>
                <w:bCs/>
                <w:color w:val="1B2A4A"/>
                <w:sz w:val="22"/>
                <w:szCs w:val="22"/>
              </w:rPr>
              <w:t xml:space="preserve">Script: Directing to MPN Care</w:t>
            </w:r>
          </w:p>
          <w:p>
            <w:pPr>
              <w:spacing w:before="0" w:after="60" w:line="276"/>
              <w:jc w:val="left"/>
            </w:pPr>
            <w:r>
              <w:rPr>
                <w:rFonts w:ascii="Arial" w:cs="Arial" w:eastAsia="Arial" w:hAnsi="Arial"/>
                <w:b w:val="false"/>
                <w:bCs w:val="false"/>
                <w:i w:val="false"/>
                <w:iCs w:val="false"/>
                <w:color w:val="2D2D2D"/>
                <w:sz w:val="21"/>
                <w:szCs w:val="21"/>
              </w:rPr>
              <w:t xml:space="preserve">"I need you to get medical attention for this injury. Our company uses a network of occupational health specialists who are trained specifically in workplace injuries."</w:t>
            </w:r>
          </w:p>
          <w:p>
            <w:pPr>
              <w:spacing w:before="0" w:after="60" w:line="276"/>
              <w:jc w:val="left"/>
            </w:pPr>
            <w:r>
              <w:rPr>
                <w:rFonts w:ascii="Arial" w:cs="Arial" w:eastAsia="Arial" w:hAnsi="Arial"/>
                <w:b w:val="false"/>
                <w:bCs w:val="false"/>
                <w:i w:val="false"/>
                <w:iCs w:val="false"/>
                <w:color w:val="2D2D2D"/>
                <w:sz w:val="21"/>
                <w:szCs w:val="21"/>
              </w:rPr>
              <w:t xml:space="preserve">"Please go to [MPN Clinic Name] at [address]. They are expecting workers' compensation patients and understand what you need."</w:t>
            </w:r>
          </w:p>
          <w:p>
            <w:pPr>
              <w:spacing w:before="0" w:after="60" w:line="276"/>
              <w:jc w:val="left"/>
            </w:pPr>
            <w:r>
              <w:rPr>
                <w:rFonts w:ascii="Arial" w:cs="Arial" w:eastAsia="Arial" w:hAnsi="Arial"/>
                <w:b w:val="false"/>
                <w:bCs w:val="false"/>
                <w:i w:val="false"/>
                <w:iCs w:val="false"/>
                <w:color w:val="2D2D2D"/>
                <w:sz w:val="21"/>
                <w:szCs w:val="21"/>
              </w:rPr>
              <w:t xml:space="preserve">"I will give you a form to bring with you. Please hand it to the front desk when you arrive."</w:t>
            </w:r>
          </w:p>
          <w:p>
            <w:pPr>
              <w:spacing w:before="0" w:after="60" w:line="276"/>
              <w:jc w:val="left"/>
            </w:pPr>
            <w:r>
              <w:rPr>
                <w:rFonts w:ascii="Arial" w:cs="Arial" w:eastAsia="Arial" w:hAnsi="Arial"/>
                <w:b w:val="false"/>
                <w:bCs w:val="false"/>
                <w:i w:val="false"/>
                <w:iCs w:val="false"/>
                <w:color w:val="2D2D2D"/>
                <w:sz w:val="21"/>
                <w:szCs w:val="21"/>
              </w:rPr>
              <w:t xml:space="preserve">"After your appointment, please call me directly so I know how you're doing and when to expect you back."</w:t>
            </w:r>
          </w:p>
        </w:tc>
      </w:tr>
    </w:tbl>
    <w:p>
      <w:pPr>
        <w:spacing w:before="0" w:after="8" w:line="276"/>
        <w:jc w:val="left"/>
      </w:pPr>
      <w:r>
        <w:rPr>
          <w:rFonts w:ascii="Arial" w:cs="Arial" w:eastAsia="Arial" w:hAnsi="Arial"/>
          <w:b w:val="false"/>
          <w:bCs w:val="false"/>
          <w:i w:val="false"/>
          <w:iCs w:val="false"/>
          <w:color w:val="2D2D2D"/>
          <w:sz w:val="22"/>
          <w:szCs w:val="22"/>
        </w:rPr>
        <w:t xml:space="preserve"/>
      </w:r>
    </w:p>
    <w:p>
      <w:pPr>
        <w:pStyle w:val="Heading3"/>
        <w:spacing w:before="180" w:after="80"/>
      </w:pPr>
      <w:r>
        <w:rPr>
          <w:rFonts w:ascii="Arial" w:cs="Arial" w:eastAsia="Arial" w:hAnsi="Arial"/>
          <w:b/>
          <w:bCs/>
          <w:color w:val="1B2A4A"/>
          <w:sz w:val="22"/>
          <w:szCs w:val="22"/>
        </w:rPr>
        <w:t xml:space="preserve">What to Give the Employee Before They Leave</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Completed first report of injury form</w:t>
      </w:r>
      <w:r>
        <w:rPr>
          <w:rFonts w:ascii="Arial" w:cs="Arial" w:eastAsia="Arial" w:hAnsi="Arial"/>
          <w:b w:val="false"/>
          <w:bCs w:val="false"/>
          <w:i w:val="false"/>
          <w:iCs w:val="false"/>
          <w:color w:val="2D2D2D"/>
          <w:sz w:val="22"/>
          <w:szCs w:val="22"/>
        </w:rPr>
        <w:t xml:space="preserve"> — filled out as completely as possible</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MPN provider directory or clinic card</w:t>
      </w:r>
      <w:r>
        <w:rPr>
          <w:rFonts w:ascii="Arial" w:cs="Arial" w:eastAsia="Arial" w:hAnsi="Arial"/>
          <w:b w:val="false"/>
          <w:bCs w:val="false"/>
          <w:i w:val="false"/>
          <w:iCs w:val="false"/>
          <w:color w:val="2D2D2D"/>
          <w:sz w:val="22"/>
          <w:szCs w:val="22"/>
        </w:rPr>
        <w:t xml:space="preserve"> — with address, phone, and hours</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Your direct phone number</w:t>
      </w:r>
      <w:r>
        <w:rPr>
          <w:rFonts w:ascii="Arial" w:cs="Arial" w:eastAsia="Arial" w:hAnsi="Arial"/>
          <w:b w:val="false"/>
          <w:bCs w:val="false"/>
          <w:i w:val="false"/>
          <w:iCs w:val="false"/>
          <w:color w:val="2D2D2D"/>
          <w:sz w:val="22"/>
          <w:szCs w:val="22"/>
        </w:rPr>
        <w:t xml:space="preserve"> — so they can reach you after treatment</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Return-to-work information</w:t>
      </w:r>
      <w:r>
        <w:rPr>
          <w:rFonts w:ascii="Arial" w:cs="Arial" w:eastAsia="Arial" w:hAnsi="Arial"/>
          <w:b w:val="false"/>
          <w:bCs w:val="false"/>
          <w:i w:val="false"/>
          <w:iCs w:val="false"/>
          <w:color w:val="2D2D2D"/>
          <w:sz w:val="22"/>
          <w:szCs w:val="22"/>
        </w:rPr>
        <w:t xml:space="preserve"> — briefly explain that modified duty may be available</w:t>
      </w:r>
    </w:p>
    <w:p>
      <w:pPr>
        <w:spacing w:before="0" w:after="8" w:line="276"/>
        <w:jc w:val="left"/>
      </w:pPr>
      <w:r>
        <w:rPr>
          <w:rFonts w:ascii="Arial" w:cs="Arial" w:eastAsia="Arial" w:hAnsi="Arial"/>
          <w:b w:val="false"/>
          <w:bCs w:val="false"/>
          <w:i w:val="false"/>
          <w:iCs w:val="false"/>
          <w:color w:val="2D2D2D"/>
          <w:sz w:val="22"/>
          <w:szCs w:val="22"/>
        </w:rPr>
        <w:t xml:space="preserve"/>
      </w:r>
    </w:p>
    <w:p>
      <w:pPr>
        <w:pStyle w:val="Heading2"/>
        <w:pBdr>
          <w:bottom w:val="single" w:color="C5972C" w:sz="6" w:space="3"/>
        </w:pBdr>
        <w:spacing w:before="240" w:after="100"/>
      </w:pPr>
      <w:r>
        <w:rPr>
          <w:rFonts w:ascii="Arial" w:cs="Arial" w:eastAsia="Arial" w:hAnsi="Arial"/>
          <w:b/>
          <w:bCs/>
          <w:color w:val="1B2A4A"/>
          <w:sz w:val="24"/>
          <w:szCs w:val="24"/>
        </w:rPr>
        <w:t xml:space="preserve">Employee Rights Within the MPN</w:t>
      </w:r>
    </w:p>
    <w:p>
      <w:pPr>
        <w:spacing w:before="0" w:after="100" w:line="276"/>
        <w:jc w:val="left"/>
      </w:pPr>
      <w:r>
        <w:rPr>
          <w:rFonts w:ascii="Arial" w:cs="Arial" w:eastAsia="Arial" w:hAnsi="Arial"/>
          <w:b w:val="false"/>
          <w:bCs w:val="false"/>
          <w:i w:val="false"/>
          <w:iCs w:val="false"/>
          <w:color w:val="2D2D2D"/>
          <w:sz w:val="22"/>
          <w:szCs w:val="22"/>
        </w:rPr>
        <w:t xml:space="preserve">Employees have rights within your MPN. Understanding these rights helps you communicate accurately and prevents disputes.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024"/>
        <w:gridCol w:w="7056"/>
      </w:tblGrid>
      <w:tr>
        <w:tc>
          <w:tcPr>
            <w:tcW w:type="dxa" w:w="3024"/>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RIGHT</w:t>
            </w:r>
          </w:p>
        </w:tc>
        <w:tc>
          <w:tcPr>
            <w:tcW w:type="dxa" w:w="7056"/>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WHAT IT MEANS FOR SUPERVISORS</w:t>
            </w:r>
          </w:p>
        </w:tc>
      </w:tr>
      <w:tr>
        <w:tc>
          <w:tcPr>
            <w:tcW w:type="dxa" w:w="302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Choice of provider</w:t>
            </w:r>
          </w:p>
        </w:tc>
        <w:tc>
          <w:tcPr>
            <w:tcW w:type="dxa" w:w="7056"/>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Employees may choose any provider within the MPN — not just the one you designate. Offer options when possible.</w:t>
            </w:r>
          </w:p>
        </w:tc>
      </w:tr>
      <w:tr>
        <w:tc>
          <w:tcPr>
            <w:tcW w:type="dxa" w:w="302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Second opinions</w:t>
            </w:r>
          </w:p>
        </w:tc>
        <w:tc>
          <w:tcPr>
            <w:tcW w:type="dxa" w:w="705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Most states allow employees to seek a second opinion within the MPN when they disagree with a treatment recommendation.</w:t>
            </w:r>
          </w:p>
        </w:tc>
      </w:tr>
      <w:tr>
        <w:tc>
          <w:tcPr>
            <w:tcW w:type="dxa" w:w="302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Provider changes</w:t>
            </w:r>
          </w:p>
        </w:tc>
        <w:tc>
          <w:tcPr>
            <w:tcW w:type="dxa" w:w="7056"/>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Employees can usually switch to a different MPN provider if dissatisfied with their current treatment.</w:t>
            </w:r>
          </w:p>
        </w:tc>
      </w:tr>
      <w:tr>
        <w:tc>
          <w:tcPr>
            <w:tcW w:type="dxa" w:w="302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Medical records</w:t>
            </w:r>
          </w:p>
        </w:tc>
        <w:tc>
          <w:tcPr>
            <w:tcW w:type="dxa" w:w="705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Employees have the right to copies of their medical records and treatment plans.</w:t>
            </w:r>
          </w:p>
        </w:tc>
      </w:tr>
      <w:tr>
        <w:tc>
          <w:tcPr>
            <w:tcW w:type="dxa" w:w="302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Dispute resolution</w:t>
            </w:r>
          </w:p>
        </w:tc>
        <w:tc>
          <w:tcPr>
            <w:tcW w:type="dxa" w:w="7056"/>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Formal processes exist if employees disagree with MPN treatment decisions. Know your state's process.</w:t>
            </w:r>
          </w:p>
        </w:tc>
      </w:tr>
    </w:tbl>
    <w:p>
      <w:pPr>
        <w:spacing w:before="0" w:after="14" w:line="276"/>
        <w:jc w:val="left"/>
      </w:pPr>
      <w:r>
        <w:rPr>
          <w:rFonts w:ascii="Arial" w:cs="Arial" w:eastAsia="Arial" w:hAnsi="Arial"/>
          <w:b w:val="false"/>
          <w:bCs w:val="false"/>
          <w:i w:val="false"/>
          <w:iCs w:val="false"/>
          <w:color w:val="2D2D2D"/>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00"/>
        <w:gridCol w:w="9480"/>
      </w:tblGrid>
      <w:tr>
        <w:tc>
          <w:tcPr>
            <w:tcW w:type="dxa" w:w="600"/>
            <w:tcBorders>
              <w:top w:val="none" w:color="FFFFFF" w:sz="0"/>
              <w:left w:val="none" w:color="FFFFFF" w:sz="0"/>
              <w:bottom w:val="none" w:color="FFFFFF" w:sz="0"/>
              <w:right w:val="none" w:color="FFFFFF" w:sz="0"/>
            </w:tcBorders>
            <w:shd w:fill="C5972C" w:val="clear"/>
            <w:tcMar>
              <w:top w:type="dxa" w:w="80"/>
              <w:left w:type="dxa" w:w="120"/>
              <w:bottom w:type="dxa" w:w="80"/>
              <w:right w:type="dxa" w:w="120"/>
            </w:tcMar>
            <w:vAlign w:val="center"/>
          </w:tcPr>
          <w:p>
            <w:pPr>
              <w:spacing w:before="0" w:after="0"/>
              <w:jc w:val="center"/>
            </w:pPr>
            <w:r>
              <w:rPr>
                <w:rFonts w:ascii="Arial" w:cs="Arial" w:eastAsia="Arial" w:hAnsi="Arial"/>
                <w:b/>
                <w:bCs/>
                <w:color w:val="1B2A4A"/>
                <w:sz w:val="32"/>
                <w:szCs w:val="32"/>
              </w:rPr>
              <w:t xml:space="preserve">3</w:t>
            </w:r>
          </w:p>
        </w:tc>
        <w:tc>
          <w:tcPr>
            <w:tcW w:type="dxa" w:w="9480"/>
            <w:tcBorders>
              <w:top w:val="none" w:color="FFFFFF" w:sz="0"/>
              <w:left w:val="none" w:color="FFFFFF" w:sz="0"/>
              <w:bottom w:val="none" w:color="FFFFFF" w:sz="0"/>
              <w:right w:val="none" w:color="FFFFFF" w:sz="0"/>
            </w:tcBorders>
            <w:shd w:fill="1B2A4A" w:val="clear"/>
            <w:tcMar>
              <w:top w:type="dxa" w:w="80"/>
              <w:left w:type="dxa" w:w="160"/>
              <w:bottom w:type="dxa" w:w="80"/>
              <w:right w:type="dxa" w:w="120"/>
            </w:tcMar>
            <w:vAlign w:val="center"/>
          </w:tcPr>
          <w:p>
            <w:pPr>
              <w:spacing w:before="0" w:after="0"/>
            </w:pPr>
            <w:r>
              <w:rPr>
                <w:rFonts w:ascii="Arial" w:cs="Arial" w:eastAsia="Arial" w:hAnsi="Arial"/>
                <w:b/>
                <w:bCs/>
                <w:color w:val="FFFFFF"/>
                <w:sz w:val="24"/>
                <w:szCs w:val="24"/>
              </w:rPr>
              <w:t xml:space="preserve">INCIDENT DOCUMENTATION &amp; REPORTING</w:t>
            </w:r>
          </w:p>
        </w:tc>
      </w:tr>
    </w:tbl>
    <w:p>
      <w:pPr>
        <w:spacing w:before="0" w:after="8" w:line="276"/>
        <w:jc w:val="left"/>
      </w:pPr>
      <w:r>
        <w:rPr>
          <w:rFonts w:ascii="Arial" w:cs="Arial" w:eastAsia="Arial" w:hAnsi="Arial"/>
          <w:b w:val="false"/>
          <w:bCs w:val="false"/>
          <w:i w:val="false"/>
          <w:iCs w:val="false"/>
          <w:color w:val="2D2D2D"/>
          <w:sz w:val="22"/>
          <w:szCs w:val="22"/>
        </w:rPr>
        <w:t xml:space="preserve"/>
      </w:r>
    </w:p>
    <w:p>
      <w:pPr>
        <w:spacing w:before="0" w:after="120" w:line="276"/>
        <w:jc w:val="left"/>
      </w:pPr>
      <w:r>
        <w:rPr>
          <w:rFonts w:ascii="Arial" w:cs="Arial" w:eastAsia="Arial" w:hAnsi="Arial"/>
          <w:b w:val="false"/>
          <w:bCs w:val="false"/>
          <w:i w:val="false"/>
          <w:iCs w:val="false"/>
          <w:color w:val="2D2D2D"/>
          <w:sz w:val="22"/>
          <w:szCs w:val="22"/>
        </w:rPr>
        <w:t xml:space="preserve">Thorough documentation protects the company, the employee, and you. Incomplete or delayed documentation is one of the most common reasons claims become disputed — and disputed claims cost far more to resolve.</w:t>
      </w:r>
    </w:p>
    <w:p>
      <w:pPr>
        <w:pStyle w:val="Heading2"/>
        <w:pBdr>
          <w:bottom w:val="single" w:color="C5972C" w:sz="6" w:space="3"/>
        </w:pBdr>
        <w:spacing w:before="240" w:after="100"/>
      </w:pPr>
      <w:r>
        <w:rPr>
          <w:rFonts w:ascii="Arial" w:cs="Arial" w:eastAsia="Arial" w:hAnsi="Arial"/>
          <w:b/>
          <w:bCs/>
          <w:color w:val="1B2A4A"/>
          <w:sz w:val="24"/>
          <w:szCs w:val="24"/>
        </w:rPr>
        <w:t xml:space="preserve">Incident Report Completion Guide</w:t>
      </w:r>
    </w:p>
    <w:p>
      <w:pPr>
        <w:spacing w:before="0" w:after="100" w:line="276"/>
        <w:jc w:val="left"/>
      </w:pPr>
      <w:r>
        <w:rPr>
          <w:rFonts w:ascii="Arial" w:cs="Arial" w:eastAsia="Arial" w:hAnsi="Arial"/>
          <w:b w:val="false"/>
          <w:bCs w:val="false"/>
          <w:i w:val="false"/>
          <w:iCs w:val="false"/>
          <w:color w:val="2D2D2D"/>
          <w:sz w:val="22"/>
          <w:szCs w:val="22"/>
        </w:rPr>
        <w:t xml:space="preserve">Complete your incident report </w:t>
      </w:r>
      <w:r>
        <w:rPr>
          <w:rFonts w:ascii="Arial" w:cs="Arial" w:eastAsia="Arial" w:hAnsi="Arial"/>
          <w:b/>
          <w:bCs/>
          <w:i w:val="false"/>
          <w:iCs w:val="false"/>
          <w:color w:val="2D2D2D"/>
          <w:sz w:val="22"/>
          <w:szCs w:val="22"/>
        </w:rPr>
        <w:t xml:space="preserve">within 24 hours</w:t>
      </w:r>
      <w:r>
        <w:rPr>
          <w:rFonts w:ascii="Arial" w:cs="Arial" w:eastAsia="Arial" w:hAnsi="Arial"/>
          <w:b w:val="false"/>
          <w:bCs w:val="false"/>
          <w:i w:val="false"/>
          <w:iCs w:val="false"/>
          <w:color w:val="2D2D2D"/>
          <w:sz w:val="22"/>
          <w:szCs w:val="22"/>
        </w:rPr>
        <w:t xml:space="preserve"> — ideally the same shift. Document the following:</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225"/>
        <w:gridCol w:w="6854"/>
      </w:tblGrid>
      <w:tr>
        <w:tc>
          <w:tcPr>
            <w:tcW w:type="dxa" w:w="3225"/>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FIELD</w:t>
            </w:r>
          </w:p>
        </w:tc>
        <w:tc>
          <w:tcPr>
            <w:tcW w:type="dxa" w:w="6854"/>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WHAT TO DOCUMENT</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Employee Information</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Full name, job title, department, shift, length of employment</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Incident Date &amp; Time</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Exact date and time the injury occurred — not when reported</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Incident Location</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Specific location: building, floor, machine number, GPS if outdoor</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What the Employee Was Doing</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Precise task being performed at the time of injury</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How the Injury Occurred</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Describe the sequence of events leading to the injury in detail</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Body Part(s) Affected</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Specific body parts — "back" is insufficient; document "lower lumbar region"</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Nature of Injury</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Describe the injury type: laceration, sprain, contusion, fracture, burn, etc.</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Witness Information</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Names and contact information for all witnesses, even if they didn't see the incident</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First Aid Provided</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What first aid was administered, by whom, and when</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MPN Referral Made</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Confirm which MPN clinic the employee was directed to and at what time</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Equipment/Conditions</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Note any equipment involved, PPE worn or absent, environmental conditions</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Supervisor Observations</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Your own assessment of the scene, employee's condition, contributing factors</w:t>
            </w:r>
          </w:p>
        </w:tc>
      </w:tr>
    </w:tbl>
    <w:p>
      <w:pPr>
        <w:spacing w:before="0" w:after="12" w:line="276"/>
        <w:jc w:val="left"/>
      </w:pPr>
      <w:r>
        <w:rPr>
          <w:rFonts w:ascii="Arial" w:cs="Arial" w:eastAsia="Arial" w:hAnsi="Arial"/>
          <w:b w:val="false"/>
          <w:bCs w:val="false"/>
          <w:i w:val="false"/>
          <w:iCs w:val="false"/>
          <w:color w:val="2D2D2D"/>
          <w:sz w:val="22"/>
          <w:szCs w:val="22"/>
        </w:rPr>
        <w:t xml:space="preserve"/>
      </w:r>
    </w:p>
    <w:p>
      <w:pPr>
        <w:pStyle w:val="Heading2"/>
        <w:pBdr>
          <w:bottom w:val="single" w:color="C5972C" w:sz="6" w:space="3"/>
        </w:pBdr>
        <w:spacing w:before="240" w:after="100"/>
      </w:pPr>
      <w:r>
        <w:rPr>
          <w:rFonts w:ascii="Arial" w:cs="Arial" w:eastAsia="Arial" w:hAnsi="Arial"/>
          <w:b/>
          <w:bCs/>
          <w:color w:val="1B2A4A"/>
          <w:sz w:val="24"/>
          <w:szCs w:val="24"/>
        </w:rPr>
        <w:t xml:space="preserve">Preserving Evidence</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Photograph the scene</w:t>
      </w:r>
      <w:r>
        <w:rPr>
          <w:rFonts w:ascii="Arial" w:cs="Arial" w:eastAsia="Arial" w:hAnsi="Arial"/>
          <w:b w:val="false"/>
          <w:bCs w:val="false"/>
          <w:i w:val="false"/>
          <w:iCs w:val="false"/>
          <w:color w:val="2D2D2D"/>
          <w:sz w:val="22"/>
          <w:szCs w:val="22"/>
        </w:rPr>
        <w:t xml:space="preserve"> immediately — before anything is cleaned up or moved</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Preserve physical evidence</w:t>
      </w:r>
      <w:r>
        <w:rPr>
          <w:rFonts w:ascii="Arial" w:cs="Arial" w:eastAsia="Arial" w:hAnsi="Arial"/>
          <w:b w:val="false"/>
          <w:bCs w:val="false"/>
          <w:i w:val="false"/>
          <w:iCs w:val="false"/>
          <w:color w:val="2D2D2D"/>
          <w:sz w:val="22"/>
          <w:szCs w:val="22"/>
        </w:rPr>
        <w:t xml:space="preserve"> — broken equipment, torn PPE, spilled substances</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Do not alter the scene</w:t>
      </w:r>
      <w:r>
        <w:rPr>
          <w:rFonts w:ascii="Arial" w:cs="Arial" w:eastAsia="Arial" w:hAnsi="Arial"/>
          <w:b w:val="false"/>
          <w:bCs w:val="false"/>
          <w:i w:val="false"/>
          <w:iCs w:val="false"/>
          <w:color w:val="2D2D2D"/>
          <w:sz w:val="22"/>
          <w:szCs w:val="22"/>
        </w:rPr>
        <w:t xml:space="preserve"> before photographing unless required for ongoing safety</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Interview witnesses separately</w:t>
      </w:r>
      <w:r>
        <w:rPr>
          <w:rFonts w:ascii="Arial" w:cs="Arial" w:eastAsia="Arial" w:hAnsi="Arial"/>
          <w:b w:val="false"/>
          <w:bCs w:val="false"/>
          <w:i w:val="false"/>
          <w:iCs w:val="false"/>
          <w:color w:val="2D2D2D"/>
          <w:sz w:val="22"/>
          <w:szCs w:val="22"/>
        </w:rPr>
        <w:t xml:space="preserve"> and record their accounts independently</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Save surveillance footage</w:t>
      </w:r>
      <w:r>
        <w:rPr>
          <w:rFonts w:ascii="Arial" w:cs="Arial" w:eastAsia="Arial" w:hAnsi="Arial"/>
          <w:b w:val="false"/>
          <w:bCs w:val="false"/>
          <w:i w:val="false"/>
          <w:iCs w:val="false"/>
          <w:color w:val="2D2D2D"/>
          <w:sz w:val="22"/>
          <w:szCs w:val="22"/>
        </w:rPr>
        <w:t xml:space="preserve"> if applicable — request preservation before it overwrites</w:t>
      </w:r>
    </w:p>
    <w:p>
      <w:pPr>
        <w:pStyle w:val="ListParagraph"/>
        <w:numPr>
          <w:ilvl w:val="0"/>
          <w:numId w:val="2"/>
        </w:numPr>
        <w:spacing w:before="40" w:after="60"/>
      </w:pPr>
      <w:r>
        <w:rPr>
          <w:rFonts w:ascii="Arial" w:cs="Arial" w:eastAsia="Arial" w:hAnsi="Arial"/>
          <w:b/>
          <w:bCs/>
          <w:i w:val="false"/>
          <w:iCs w:val="false"/>
          <w:color w:val="2D2D2D"/>
          <w:sz w:val="22"/>
          <w:szCs w:val="22"/>
        </w:rPr>
        <w:t xml:space="preserve">Document your own memory</w:t>
      </w:r>
      <w:r>
        <w:rPr>
          <w:rFonts w:ascii="Arial" w:cs="Arial" w:eastAsia="Arial" w:hAnsi="Arial"/>
          <w:b w:val="false"/>
          <w:bCs w:val="false"/>
          <w:i w:val="false"/>
          <w:iCs w:val="false"/>
          <w:color w:val="2D2D2D"/>
          <w:sz w:val="22"/>
          <w:szCs w:val="22"/>
        </w:rPr>
        <w:t xml:space="preserve"> — write notes before your recollection fades</w:t>
      </w:r>
    </w:p>
    <w:p>
      <w:pPr>
        <w:spacing w:before="0" w:after="8" w:line="276"/>
        <w:jc w:val="left"/>
      </w:pPr>
      <w:r>
        <w:rPr>
          <w:rFonts w:ascii="Arial" w:cs="Arial" w:eastAsia="Arial" w:hAnsi="Arial"/>
          <w:b w:val="false"/>
          <w:bCs w:val="false"/>
          <w:i w:val="false"/>
          <w:iCs w:val="false"/>
          <w:color w:val="2D2D2D"/>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991B1B" w:sz="8"/>
              <w:left w:val="single" w:color="991B1B" w:sz="8"/>
              <w:bottom w:val="single" w:color="991B1B" w:sz="4"/>
              <w:right w:val="single" w:color="991B1B" w:sz="4"/>
            </w:tcBorders>
            <w:shd w:fill="FEF2F2" w:val="clear"/>
            <w:tcMar>
              <w:top w:type="dxa" w:w="120"/>
              <w:left w:type="dxa" w:w="160"/>
              <w:bottom w:type="dxa" w:w="120"/>
              <w:right w:type="dxa" w:w="160"/>
            </w:tcMar>
          </w:tcPr>
          <w:p>
            <w:pPr>
              <w:spacing w:before="0" w:after="80"/>
            </w:pPr>
            <w:r>
              <w:rPr>
                <w:rFonts w:ascii="Arial" w:cs="Arial" w:eastAsia="Arial" w:hAnsi="Arial"/>
                <w:b/>
                <w:bCs/>
                <w:color w:val="991B1B"/>
                <w:sz w:val="22"/>
                <w:szCs w:val="22"/>
              </w:rPr>
              <w:t xml:space="preserve">Legal Reminder: What You Cannot Ask</w:t>
            </w:r>
          </w:p>
          <w:p>
            <w:pPr>
              <w:spacing w:before="0" w:after="60" w:line="276"/>
              <w:jc w:val="left"/>
            </w:pPr>
            <w:r>
              <w:rPr>
                <w:rFonts w:ascii="Arial" w:cs="Arial" w:eastAsia="Arial" w:hAnsi="Arial"/>
                <w:b w:val="false"/>
                <w:bCs w:val="false"/>
                <w:i w:val="false"/>
                <w:iCs w:val="false"/>
                <w:color w:val="2D2D2D"/>
                <w:sz w:val="21"/>
                <w:szCs w:val="21"/>
              </w:rPr>
              <w:t xml:space="preserve">Under state and federal law, there are questions you are prohibited from asking an injured employee:</w:t>
            </w:r>
          </w:p>
          <w:p>
            <w:pPr>
              <w:spacing w:before="0" w:after="60" w:line="276"/>
              <w:jc w:val="left"/>
            </w:pPr>
            <w:r>
              <w:rPr>
                <w:rFonts w:ascii="Arial" w:cs="Arial" w:eastAsia="Arial" w:hAnsi="Arial"/>
                <w:b w:val="false"/>
                <w:bCs w:val="false"/>
                <w:i w:val="false"/>
                <w:iCs w:val="false"/>
                <w:color w:val="2D2D2D"/>
                <w:sz w:val="21"/>
                <w:szCs w:val="21"/>
              </w:rPr>
              <w:t xml:space="preserve">Do NOT ask: "Are you going to file a workers' comp claim?"</w:t>
            </w:r>
          </w:p>
          <w:p>
            <w:pPr>
              <w:spacing w:before="0" w:after="60" w:line="276"/>
              <w:jc w:val="left"/>
            </w:pPr>
            <w:r>
              <w:rPr>
                <w:rFonts w:ascii="Arial" w:cs="Arial" w:eastAsia="Arial" w:hAnsi="Arial"/>
                <w:b w:val="false"/>
                <w:bCs w:val="false"/>
                <w:i w:val="false"/>
                <w:iCs w:val="false"/>
                <w:color w:val="2D2D2D"/>
                <w:sz w:val="21"/>
                <w:szCs w:val="21"/>
              </w:rPr>
              <w:t xml:space="preserve">Do NOT ask: "Why weren't you more careful?"</w:t>
            </w:r>
          </w:p>
          <w:p>
            <w:pPr>
              <w:spacing w:before="0" w:after="60" w:line="276"/>
              <w:jc w:val="left"/>
            </w:pPr>
            <w:r>
              <w:rPr>
                <w:rFonts w:ascii="Arial" w:cs="Arial" w:eastAsia="Arial" w:hAnsi="Arial"/>
                <w:b w:val="false"/>
                <w:bCs w:val="false"/>
                <w:i w:val="false"/>
                <w:iCs w:val="false"/>
                <w:color w:val="2D2D2D"/>
                <w:sz w:val="21"/>
                <w:szCs w:val="21"/>
              </w:rPr>
              <w:t xml:space="preserve">Do NOT ask: "Are you sure you want to do this?" or express any discouragement from reporting</w:t>
            </w:r>
          </w:p>
          <w:p>
            <w:pPr>
              <w:spacing w:before="0" w:after="60" w:line="276"/>
              <w:jc w:val="left"/>
            </w:pPr>
            <w:r>
              <w:rPr>
                <w:rFonts w:ascii="Arial" w:cs="Arial" w:eastAsia="Arial" w:hAnsi="Arial"/>
                <w:b w:val="false"/>
                <w:bCs w:val="false"/>
                <w:i w:val="false"/>
                <w:iCs w:val="false"/>
                <w:color w:val="2D2D2D"/>
                <w:sz w:val="21"/>
                <w:szCs w:val="21"/>
              </w:rPr>
              <w:t xml:space="preserve">Do NOT ask about prior workers' comp history (except through authorized HR channels)</w:t>
            </w:r>
          </w:p>
          <w:p>
            <w:pPr>
              <w:spacing w:before="0" w:after="60" w:line="276"/>
              <w:jc w:val="left"/>
            </w:pPr>
            <w:r>
              <w:rPr>
                <w:rFonts w:ascii="Arial" w:cs="Arial" w:eastAsia="Arial" w:hAnsi="Arial"/>
                <w:b w:val="false"/>
                <w:bCs w:val="false"/>
                <w:i w:val="false"/>
                <w:iCs w:val="false"/>
                <w:color w:val="2D2D2D"/>
                <w:sz w:val="21"/>
                <w:szCs w:val="21"/>
              </w:rPr>
              <w:t xml:space="preserve">Do NOT make any statements about what treatment they should or should not receive</w:t>
            </w:r>
          </w:p>
          <w:p>
            <w:pPr>
              <w:spacing w:before="0" w:after="60" w:line="276"/>
              <w:jc w:val="left"/>
            </w:pPr>
            <w:r>
              <w:rPr>
                <w:rFonts w:ascii="Arial" w:cs="Arial" w:eastAsia="Arial" w:hAnsi="Arial"/>
                <w:b/>
                <w:bCs/>
                <w:i w:val="false"/>
                <w:iCs w:val="false"/>
                <w:color w:val="2D2D2D"/>
                <w:sz w:val="21"/>
                <w:szCs w:val="21"/>
              </w:rPr>
              <w:t xml:space="preserve">Retaliation against an employee for filing a workers' comp claim is illegal.</w:t>
            </w:r>
            <w:r>
              <w:rPr>
                <w:rFonts w:ascii="Arial" w:cs="Arial" w:eastAsia="Arial" w:hAnsi="Arial"/>
                <w:b w:val="false"/>
                <w:bCs w:val="false"/>
                <w:i w:val="false"/>
                <w:iCs w:val="false"/>
                <w:color w:val="2D2D2D"/>
                <w:sz w:val="21"/>
                <w:szCs w:val="21"/>
              </w:rPr>
              <w:t xml:space="preserve"> Any supervisor who retaliates — including subtle discouragement — creates significant legal liability for themselves and the company.</w:t>
            </w:r>
          </w:p>
        </w:tc>
      </w:tr>
    </w:tbl>
    <w:p>
      <w:pPr>
        <w:spacing w:before="0" w:after="14" w:line="276"/>
        <w:jc w:val="left"/>
      </w:pPr>
      <w:r>
        <w:rPr>
          <w:rFonts w:ascii="Arial" w:cs="Arial" w:eastAsia="Arial" w:hAnsi="Arial"/>
          <w:b w:val="false"/>
          <w:bCs w:val="false"/>
          <w:i w:val="false"/>
          <w:iCs w:val="false"/>
          <w:color w:val="2D2D2D"/>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00"/>
        <w:gridCol w:w="9480"/>
      </w:tblGrid>
      <w:tr>
        <w:tc>
          <w:tcPr>
            <w:tcW w:type="dxa" w:w="600"/>
            <w:tcBorders>
              <w:top w:val="none" w:color="FFFFFF" w:sz="0"/>
              <w:left w:val="none" w:color="FFFFFF" w:sz="0"/>
              <w:bottom w:val="none" w:color="FFFFFF" w:sz="0"/>
              <w:right w:val="none" w:color="FFFFFF" w:sz="0"/>
            </w:tcBorders>
            <w:shd w:fill="C5972C" w:val="clear"/>
            <w:tcMar>
              <w:top w:type="dxa" w:w="80"/>
              <w:left w:type="dxa" w:w="120"/>
              <w:bottom w:type="dxa" w:w="80"/>
              <w:right w:type="dxa" w:w="120"/>
            </w:tcMar>
            <w:vAlign w:val="center"/>
          </w:tcPr>
          <w:p>
            <w:pPr>
              <w:spacing w:before="0" w:after="0"/>
              <w:jc w:val="center"/>
            </w:pPr>
            <w:r>
              <w:rPr>
                <w:rFonts w:ascii="Arial" w:cs="Arial" w:eastAsia="Arial" w:hAnsi="Arial"/>
                <w:b/>
                <w:bCs/>
                <w:color w:val="1B2A4A"/>
                <w:sz w:val="32"/>
                <w:szCs w:val="32"/>
              </w:rPr>
              <w:t xml:space="preserve">4</w:t>
            </w:r>
          </w:p>
        </w:tc>
        <w:tc>
          <w:tcPr>
            <w:tcW w:type="dxa" w:w="9480"/>
            <w:tcBorders>
              <w:top w:val="none" w:color="FFFFFF" w:sz="0"/>
              <w:left w:val="none" w:color="FFFFFF" w:sz="0"/>
              <w:bottom w:val="none" w:color="FFFFFF" w:sz="0"/>
              <w:right w:val="none" w:color="FFFFFF" w:sz="0"/>
            </w:tcBorders>
            <w:shd w:fill="1B2A4A" w:val="clear"/>
            <w:tcMar>
              <w:top w:type="dxa" w:w="80"/>
              <w:left w:type="dxa" w:w="160"/>
              <w:bottom w:type="dxa" w:w="80"/>
              <w:right w:type="dxa" w:w="120"/>
            </w:tcMar>
            <w:vAlign w:val="center"/>
          </w:tcPr>
          <w:p>
            <w:pPr>
              <w:spacing w:before="0" w:after="0"/>
            </w:pPr>
            <w:r>
              <w:rPr>
                <w:rFonts w:ascii="Arial" w:cs="Arial" w:eastAsia="Arial" w:hAnsi="Arial"/>
                <w:b/>
                <w:bCs/>
                <w:color w:val="FFFFFF"/>
                <w:sz w:val="24"/>
                <w:szCs w:val="24"/>
              </w:rPr>
              <w:t xml:space="preserve">RETURN-TO-WORK COORDINATION</w:t>
            </w:r>
          </w:p>
        </w:tc>
      </w:tr>
    </w:tbl>
    <w:p>
      <w:pPr>
        <w:spacing w:before="0" w:after="8" w:line="276"/>
        <w:jc w:val="left"/>
      </w:pPr>
      <w:r>
        <w:rPr>
          <w:rFonts w:ascii="Arial" w:cs="Arial" w:eastAsia="Arial" w:hAnsi="Arial"/>
          <w:b w:val="false"/>
          <w:bCs w:val="false"/>
          <w:i w:val="false"/>
          <w:iCs w:val="false"/>
          <w:color w:val="2D2D2D"/>
          <w:sz w:val="22"/>
          <w:szCs w:val="22"/>
        </w:rPr>
        <w:t xml:space="preserve"/>
      </w:r>
    </w:p>
    <w:p>
      <w:pPr>
        <w:spacing w:before="0" w:after="120" w:line="276"/>
        <w:jc w:val="left"/>
      </w:pPr>
      <w:r>
        <w:rPr>
          <w:rFonts w:ascii="Arial" w:cs="Arial" w:eastAsia="Arial" w:hAnsi="Arial"/>
          <w:b w:val="false"/>
          <w:bCs w:val="false"/>
          <w:i w:val="false"/>
          <w:iCs w:val="false"/>
          <w:color w:val="2D2D2D"/>
          <w:sz w:val="22"/>
          <w:szCs w:val="22"/>
        </w:rPr>
        <w:t xml:space="preserve">Getting injured employees back to productive work — even in a modified capacity — is one of the most powerful ways to reduce workers' compensation costs. Lost time costs often exceed medical costs. Your active involvement in return-to-work coordination directly impacts your company's experience modification and future insurance premiums.</w:t>
      </w:r>
    </w:p>
    <w:p>
      <w:pPr>
        <w:pStyle w:val="Heading2"/>
        <w:pBdr>
          <w:bottom w:val="single" w:color="C5972C" w:sz="6" w:space="3"/>
        </w:pBdr>
        <w:spacing w:before="240" w:after="100"/>
      </w:pPr>
      <w:r>
        <w:rPr>
          <w:rFonts w:ascii="Arial" w:cs="Arial" w:eastAsia="Arial" w:hAnsi="Arial"/>
          <w:b/>
          <w:bCs/>
          <w:color w:val="1B2A4A"/>
          <w:sz w:val="24"/>
          <w:szCs w:val="24"/>
        </w:rPr>
        <w:t xml:space="preserve">Modified Duty Program</w:t>
      </w:r>
    </w:p>
    <w:p>
      <w:pPr>
        <w:spacing w:before="0" w:after="120" w:line="276"/>
        <w:jc w:val="left"/>
      </w:pPr>
      <w:r>
        <w:rPr>
          <w:rFonts w:ascii="Arial" w:cs="Arial" w:eastAsia="Arial" w:hAnsi="Arial"/>
          <w:b w:val="false"/>
          <w:bCs w:val="false"/>
          <w:i w:val="false"/>
          <w:iCs w:val="false"/>
          <w:color w:val="2D2D2D"/>
          <w:sz w:val="22"/>
          <w:szCs w:val="22"/>
        </w:rPr>
        <w:t xml:space="preserve">Modified duty (also called transitional work or light duty) allows employees to return to work while they recover, within the restrictions set by the treating physician. It benefits everyone: the employee maintains their routine and income, and the company avoids the full cost of lost time.</w:t>
      </w:r>
    </w:p>
    <w:p>
      <w:pPr>
        <w:pStyle w:val="Heading3"/>
        <w:spacing w:before="180" w:after="80"/>
      </w:pPr>
      <w:r>
        <w:rPr>
          <w:rFonts w:ascii="Arial" w:cs="Arial" w:eastAsia="Arial" w:hAnsi="Arial"/>
          <w:b/>
          <w:bCs/>
          <w:color w:val="1B2A4A"/>
          <w:sz w:val="22"/>
          <w:szCs w:val="22"/>
        </w:rPr>
        <w:t xml:space="preserve">How to Identify Modified Duty Tasks</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Review the physician's written work restrictions carefully — they define exactly what the employee can and cannot do</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Match restrictions to available tasks: sedentary work, one-handed tasks, limited lifting, no bending, desk-based duties</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Do not assign tasks that approach or exceed stated restrictions — over-exertion causes re-injury and dramatically increases claim costs</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Document the modified duty assignment in writing and have the employee sign acknowledgment</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Communicate daily with the returning employee — check in on how they're feeling and whether restrictions are being respected</w:t>
      </w:r>
    </w:p>
    <w:p>
      <w:pPr>
        <w:spacing w:before="0" w:after="10" w:line="276"/>
        <w:jc w:val="left"/>
      </w:pPr>
      <w:r>
        <w:rPr>
          <w:rFonts w:ascii="Arial" w:cs="Arial" w:eastAsia="Arial" w:hAnsi="Arial"/>
          <w:b w:val="false"/>
          <w:bCs w:val="false"/>
          <w:i w:val="false"/>
          <w:iCs w:val="false"/>
          <w:color w:val="2D2D2D"/>
          <w:sz w:val="22"/>
          <w:szCs w:val="22"/>
        </w:rPr>
        <w:t xml:space="preserve"/>
      </w:r>
    </w:p>
    <w:p>
      <w:pPr>
        <w:pStyle w:val="Heading2"/>
        <w:pBdr>
          <w:bottom w:val="single" w:color="C5972C" w:sz="6" w:space="3"/>
        </w:pBdr>
        <w:spacing w:before="240" w:after="100"/>
      </w:pPr>
      <w:r>
        <w:rPr>
          <w:rFonts w:ascii="Arial" w:cs="Arial" w:eastAsia="Arial" w:hAnsi="Arial"/>
          <w:b/>
          <w:bCs/>
          <w:color w:val="1B2A4A"/>
          <w:sz w:val="24"/>
          <w:szCs w:val="24"/>
        </w:rPr>
        <w:t xml:space="preserve">Managing Work Restrictions</w:t>
      </w:r>
    </w:p>
    <w:p>
      <w:pPr>
        <w:spacing w:before="0" w:after="100" w:line="276"/>
        <w:jc w:val="left"/>
      </w:pPr>
      <w:r>
        <w:rPr>
          <w:rFonts w:ascii="Arial" w:cs="Arial" w:eastAsia="Arial" w:hAnsi="Arial"/>
          <w:b w:val="false"/>
          <w:bCs w:val="false"/>
          <w:i w:val="false"/>
          <w:iCs w:val="false"/>
          <w:color w:val="2D2D2D"/>
          <w:sz w:val="22"/>
          <w:szCs w:val="22"/>
        </w:rPr>
        <w:t xml:space="preserve">When the treating physician provides work restrictions, your job is to implement them precisely: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225"/>
        <w:gridCol w:w="6854"/>
      </w:tblGrid>
      <w:tr>
        <w:tc>
          <w:tcPr>
            <w:tcW w:type="dxa" w:w="3225"/>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RESTRICTION TYPE</w:t>
            </w:r>
          </w:p>
        </w:tc>
        <w:tc>
          <w:tcPr>
            <w:tcW w:type="dxa" w:w="6854"/>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SUPERVISOR ACTION REQUIRED</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Lifting restriction</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Know the exact weight limit. Do not estimate. Post it at the employee's workstation if helpful.</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No repetitive motion</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Rotate tasks to eliminate repetition. Understand which motions are restricted.</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Sit/stand only</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Provide appropriate workstation. Ensure the employee can comply without compromising productivity.</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Limited hours</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Adjust schedule exactly as prescribed. Do not ask the employee to "stay a little longer."</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No climbing/heights</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Reassign all tasks involving ladders, platforms, or elevated positions.</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One-hand use only</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Identify tasks accomplishable with the unaffected hand. Do not improvise.</w:t>
            </w:r>
          </w:p>
        </w:tc>
      </w:tr>
    </w:tbl>
    <w:p>
      <w:pPr>
        <w:spacing w:before="0" w:after="12" w:line="276"/>
        <w:jc w:val="left"/>
      </w:pPr>
      <w:r>
        <w:rPr>
          <w:rFonts w:ascii="Arial" w:cs="Arial" w:eastAsia="Arial" w:hAnsi="Arial"/>
          <w:b w:val="false"/>
          <w:bCs w:val="false"/>
          <w:i w:val="false"/>
          <w:iCs w:val="false"/>
          <w:color w:val="2D2D2D"/>
          <w:sz w:val="22"/>
          <w:szCs w:val="22"/>
        </w:rPr>
        <w:t xml:space="preserve"/>
      </w:r>
    </w:p>
    <w:p>
      <w:pPr>
        <w:pStyle w:val="Heading2"/>
        <w:pBdr>
          <w:bottom w:val="single" w:color="C5972C" w:sz="6" w:space="3"/>
        </w:pBdr>
        <w:spacing w:before="240" w:after="100"/>
      </w:pPr>
      <w:r>
        <w:rPr>
          <w:rFonts w:ascii="Arial" w:cs="Arial" w:eastAsia="Arial" w:hAnsi="Arial"/>
          <w:b/>
          <w:bCs/>
          <w:color w:val="1B2A4A"/>
          <w:sz w:val="24"/>
          <w:szCs w:val="24"/>
        </w:rPr>
        <w:t xml:space="preserve">Follow-Up Communication Protocol</w:t>
      </w:r>
    </w:p>
    <w:p>
      <w:pPr>
        <w:spacing w:before="0" w:after="100" w:line="276"/>
        <w:jc w:val="left"/>
      </w:pPr>
      <w:r>
        <w:rPr>
          <w:rFonts w:ascii="Arial" w:cs="Arial" w:eastAsia="Arial" w:hAnsi="Arial"/>
          <w:b w:val="false"/>
          <w:bCs w:val="false"/>
          <w:i w:val="false"/>
          <w:iCs w:val="false"/>
          <w:color w:val="2D2D2D"/>
          <w:sz w:val="22"/>
          <w:szCs w:val="22"/>
        </w:rPr>
        <w:t xml:space="preserve">Consistent follow-up demonstrates genuine care and prevents claims from becoming adversarial. Use this schedule:</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225"/>
        <w:gridCol w:w="6854"/>
      </w:tblGrid>
      <w:tr>
        <w:tc>
          <w:tcPr>
            <w:tcW w:type="dxa" w:w="3225"/>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TIMING</w:t>
            </w:r>
          </w:p>
        </w:tc>
        <w:tc>
          <w:tcPr>
            <w:tcW w:type="dxa" w:w="6854"/>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SUPERVISOR ACTION</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Same day as injury</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Call or text the employee to confirm they reached the MPN clinic. Express genuine concern for their wellbeing.</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After first appointment</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Review the work status note. Understand the restrictions. Ask HR or adjuster to clarify anything unclear.</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Daily (first week)</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Check in briefly — "How are you feeling? Is there anything you need?" Document each contact.</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Each medical appointment</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Obtain updated work status note. Adjust modified duty assignment if restrictions change.</w:t>
            </w:r>
          </w:p>
        </w:tc>
      </w:tr>
      <w:tr>
        <w:tc>
          <w:tcPr>
            <w:tcW w:type="dxa" w:w="3225"/>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Weekly thereafter</w:t>
            </w:r>
          </w:p>
        </w:tc>
        <w:tc>
          <w:tcPr>
            <w:tcW w:type="dxa" w:w="6854"/>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Maintain contact. Provide the employee with the return-to-full-duty target date when known.</w:t>
            </w:r>
          </w:p>
        </w:tc>
      </w:tr>
      <w:tr>
        <w:tc>
          <w:tcPr>
            <w:tcW w:type="dxa" w:w="322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0"/>
            </w:pPr>
            <w:r>
              <w:rPr>
                <w:rFonts w:ascii="Arial" w:cs="Arial" w:eastAsia="Arial" w:hAnsi="Arial"/>
                <w:b/>
                <w:bCs/>
                <w:color w:val="1B2A4A"/>
                <w:sz w:val="21"/>
                <w:szCs w:val="21"/>
              </w:rPr>
              <w:t xml:space="preserve">Discharge from treatment</w:t>
            </w:r>
          </w:p>
        </w:tc>
        <w:tc>
          <w:tcPr>
            <w:tcW w:type="dxa" w:w="6854"/>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Review final restrictions or full release. Complete return-to-work documentation.</w:t>
            </w:r>
          </w:p>
        </w:tc>
      </w:tr>
    </w:tbl>
    <w:p>
      <w:pPr>
        <w:spacing w:before="0" w:after="14" w:line="276"/>
        <w:jc w:val="left"/>
      </w:pPr>
      <w:r>
        <w:rPr>
          <w:rFonts w:ascii="Arial" w:cs="Arial" w:eastAsia="Arial" w:hAnsi="Arial"/>
          <w:b w:val="false"/>
          <w:bCs w:val="false"/>
          <w:i w:val="false"/>
          <w:iCs w:val="false"/>
          <w:color w:val="2D2D2D"/>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00"/>
        <w:gridCol w:w="9480"/>
      </w:tblGrid>
      <w:tr>
        <w:tc>
          <w:tcPr>
            <w:tcW w:type="dxa" w:w="600"/>
            <w:tcBorders>
              <w:top w:val="none" w:color="FFFFFF" w:sz="0"/>
              <w:left w:val="none" w:color="FFFFFF" w:sz="0"/>
              <w:bottom w:val="none" w:color="FFFFFF" w:sz="0"/>
              <w:right w:val="none" w:color="FFFFFF" w:sz="0"/>
            </w:tcBorders>
            <w:shd w:fill="C5972C" w:val="clear"/>
            <w:tcMar>
              <w:top w:type="dxa" w:w="80"/>
              <w:left w:type="dxa" w:w="120"/>
              <w:bottom w:type="dxa" w:w="80"/>
              <w:right w:type="dxa" w:w="120"/>
            </w:tcMar>
            <w:vAlign w:val="center"/>
          </w:tcPr>
          <w:p>
            <w:pPr>
              <w:spacing w:before="0" w:after="0"/>
              <w:jc w:val="center"/>
            </w:pPr>
            <w:r>
              <w:rPr>
                <w:rFonts w:ascii="Arial" w:cs="Arial" w:eastAsia="Arial" w:hAnsi="Arial"/>
                <w:b/>
                <w:bCs/>
                <w:color w:val="1B2A4A"/>
                <w:sz w:val="32"/>
                <w:szCs w:val="32"/>
              </w:rPr>
              <w:t xml:space="preserve">5</w:t>
            </w:r>
          </w:p>
        </w:tc>
        <w:tc>
          <w:tcPr>
            <w:tcW w:type="dxa" w:w="9480"/>
            <w:tcBorders>
              <w:top w:val="none" w:color="FFFFFF" w:sz="0"/>
              <w:left w:val="none" w:color="FFFFFF" w:sz="0"/>
              <w:bottom w:val="none" w:color="FFFFFF" w:sz="0"/>
              <w:right w:val="none" w:color="FFFFFF" w:sz="0"/>
            </w:tcBorders>
            <w:shd w:fill="1B2A4A" w:val="clear"/>
            <w:tcMar>
              <w:top w:type="dxa" w:w="80"/>
              <w:left w:type="dxa" w:w="160"/>
              <w:bottom w:type="dxa" w:w="80"/>
              <w:right w:type="dxa" w:w="120"/>
            </w:tcMar>
            <w:vAlign w:val="center"/>
          </w:tcPr>
          <w:p>
            <w:pPr>
              <w:spacing w:before="0" w:after="0"/>
            </w:pPr>
            <w:r>
              <w:rPr>
                <w:rFonts w:ascii="Arial" w:cs="Arial" w:eastAsia="Arial" w:hAnsi="Arial"/>
                <w:b/>
                <w:bCs/>
                <w:color w:val="FFFFFF"/>
                <w:sz w:val="24"/>
                <w:szCs w:val="24"/>
              </w:rPr>
              <w:t xml:space="preserve">LEGAL BOUNDARIES &amp; COMPLIANCE</w:t>
            </w:r>
          </w:p>
        </w:tc>
      </w:tr>
    </w:tbl>
    <w:p>
      <w:pPr>
        <w:spacing w:before="0" w:after="8" w:line="276"/>
        <w:jc w:val="left"/>
      </w:pPr>
      <w:r>
        <w:rPr>
          <w:rFonts w:ascii="Arial" w:cs="Arial" w:eastAsia="Arial" w:hAnsi="Arial"/>
          <w:b w:val="false"/>
          <w:bCs w:val="false"/>
          <w:i w:val="false"/>
          <w:iCs w:val="false"/>
          <w:color w:val="2D2D2D"/>
          <w:sz w:val="22"/>
          <w:szCs w:val="22"/>
        </w:rPr>
        <w:t xml:space="preserve"/>
      </w:r>
    </w:p>
    <w:p>
      <w:pPr>
        <w:spacing w:before="0" w:after="120" w:line="276"/>
        <w:jc w:val="left"/>
      </w:pPr>
      <w:r>
        <w:rPr>
          <w:rFonts w:ascii="Arial" w:cs="Arial" w:eastAsia="Arial" w:hAnsi="Arial"/>
          <w:b w:val="false"/>
          <w:bCs w:val="false"/>
          <w:i w:val="false"/>
          <w:iCs w:val="false"/>
          <w:color w:val="2D2D2D"/>
          <w:sz w:val="22"/>
          <w:szCs w:val="22"/>
        </w:rPr>
        <w:t xml:space="preserve">Workers' compensation is a regulated benefit system with serious legal protections for injured employees. Supervisors must understand what they can and cannot do — both to protect the company and to avoid personal liability.</w:t>
      </w:r>
    </w:p>
    <w:p>
      <w:pPr>
        <w:pStyle w:val="Heading2"/>
        <w:pBdr>
          <w:bottom w:val="single" w:color="C5972C" w:sz="6" w:space="3"/>
        </w:pBdr>
        <w:spacing w:before="240" w:after="100"/>
      </w:pPr>
      <w:r>
        <w:rPr>
          <w:rFonts w:ascii="Arial" w:cs="Arial" w:eastAsia="Arial" w:hAnsi="Arial"/>
          <w:b/>
          <w:bCs/>
          <w:color w:val="1B2A4A"/>
          <w:sz w:val="24"/>
          <w:szCs w:val="24"/>
        </w:rPr>
        <w:t xml:space="preserve">What Supervisors CAN Do</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Direct injured employees to MPN providers for all non-emergency treatment</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Communicate available modified duty positions and physical requirements to treating physicians</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Provide treating physicians with accurate job descriptions before and after injuries occur</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Request work status reports and clarification of specific restrictions</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Follow up with the employee about their wellbeing and expected return date</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Document observations about the injury, the scene, and the recovery process</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Report concerns about claim validity to HR or the claims adjuster (through appropriate channels)</w:t>
      </w:r>
    </w:p>
    <w:p>
      <w:pPr>
        <w:spacing w:before="0" w:after="10" w:line="276"/>
        <w:jc w:val="left"/>
      </w:pPr>
      <w:r>
        <w:rPr>
          <w:rFonts w:ascii="Arial" w:cs="Arial" w:eastAsia="Arial" w:hAnsi="Arial"/>
          <w:b w:val="false"/>
          <w:bCs w:val="false"/>
          <w:i w:val="false"/>
          <w:iCs w:val="false"/>
          <w:color w:val="2D2D2D"/>
          <w:sz w:val="22"/>
          <w:szCs w:val="22"/>
        </w:rPr>
        <w:t xml:space="preserve"/>
      </w:r>
    </w:p>
    <w:p>
      <w:pPr>
        <w:pStyle w:val="Heading2"/>
        <w:pBdr>
          <w:bottom w:val="single" w:color="C5972C" w:sz="6" w:space="3"/>
        </w:pBdr>
        <w:spacing w:before="240" w:after="100"/>
      </w:pPr>
      <w:r>
        <w:rPr>
          <w:rFonts w:ascii="Arial" w:cs="Arial" w:eastAsia="Arial" w:hAnsi="Arial"/>
          <w:b/>
          <w:bCs/>
          <w:color w:val="1B2A4A"/>
          <w:sz w:val="24"/>
          <w:szCs w:val="24"/>
        </w:rPr>
        <w:t xml:space="preserve">What Supervisors CANNOT Do</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991B1B" w:sz="8"/>
              <w:left w:val="single" w:color="991B1B" w:sz="8"/>
              <w:bottom w:val="single" w:color="991B1B" w:sz="4"/>
              <w:right w:val="single" w:color="991B1B" w:sz="4"/>
            </w:tcBorders>
            <w:shd w:fill="FEF2F2" w:val="clear"/>
            <w:tcMar>
              <w:top w:type="dxa" w:w="120"/>
              <w:left w:type="dxa" w:w="160"/>
              <w:bottom w:type="dxa" w:w="120"/>
              <w:right w:type="dxa" w:w="160"/>
            </w:tcMar>
          </w:tcPr>
          <w:p>
            <w:pPr>
              <w:spacing w:before="0" w:after="80"/>
            </w:pPr>
            <w:r>
              <w:rPr>
                <w:rFonts w:ascii="Arial" w:cs="Arial" w:eastAsia="Arial" w:hAnsi="Arial"/>
                <w:b/>
                <w:bCs/>
                <w:color w:val="991B1B"/>
                <w:sz w:val="22"/>
                <w:szCs w:val="22"/>
              </w:rPr>
              <w:t xml:space="preserve">PROHIBITED Actions — Significant Legal Risk</w:t>
            </w:r>
          </w:p>
          <w:p>
            <w:pPr>
              <w:spacing w:before="0" w:after="60" w:line="276"/>
              <w:jc w:val="left"/>
            </w:pPr>
            <w:r>
              <w:rPr>
                <w:rFonts w:ascii="Arial" w:cs="Arial" w:eastAsia="Arial" w:hAnsi="Arial"/>
                <w:b w:val="false"/>
                <w:bCs w:val="false"/>
                <w:i w:val="false"/>
                <w:iCs w:val="false"/>
                <w:color w:val="2D2D2D"/>
                <w:sz w:val="21"/>
                <w:szCs w:val="21"/>
              </w:rPr>
              <w:t xml:space="preserve">Pressure a physician to release an employee earlier than medically appropriate</w:t>
            </w:r>
          </w:p>
          <w:p>
            <w:pPr>
              <w:spacing w:before="0" w:after="60" w:line="276"/>
              <w:jc w:val="left"/>
            </w:pPr>
            <w:r>
              <w:rPr>
                <w:rFonts w:ascii="Arial" w:cs="Arial" w:eastAsia="Arial" w:hAnsi="Arial"/>
                <w:b w:val="false"/>
                <w:bCs w:val="false"/>
                <w:i w:val="false"/>
                <w:iCs w:val="false"/>
                <w:color w:val="2D2D2D"/>
                <w:sz w:val="21"/>
                <w:szCs w:val="21"/>
              </w:rPr>
              <w:t xml:space="preserve">Suggest or imply to the employee that they should not file a claim</w:t>
            </w:r>
          </w:p>
          <w:p>
            <w:pPr>
              <w:spacing w:before="0" w:after="60" w:line="276"/>
              <w:jc w:val="left"/>
            </w:pPr>
            <w:r>
              <w:rPr>
                <w:rFonts w:ascii="Arial" w:cs="Arial" w:eastAsia="Arial" w:hAnsi="Arial"/>
                <w:b w:val="false"/>
                <w:bCs w:val="false"/>
                <w:i w:val="false"/>
                <w:iCs w:val="false"/>
                <w:color w:val="2D2D2D"/>
                <w:sz w:val="21"/>
                <w:szCs w:val="21"/>
              </w:rPr>
              <w:t xml:space="preserve">Assign work that exceeds the physician's stated restrictions</w:t>
            </w:r>
          </w:p>
          <w:p>
            <w:pPr>
              <w:spacing w:before="0" w:after="60" w:line="276"/>
              <w:jc w:val="left"/>
            </w:pPr>
            <w:r>
              <w:rPr>
                <w:rFonts w:ascii="Arial" w:cs="Arial" w:eastAsia="Arial" w:hAnsi="Arial"/>
                <w:b w:val="false"/>
                <w:bCs w:val="false"/>
                <w:i w:val="false"/>
                <w:iCs w:val="false"/>
                <w:color w:val="2D2D2D"/>
                <w:sz w:val="21"/>
                <w:szCs w:val="21"/>
              </w:rPr>
              <w:t xml:space="preserve">Treat an employee adversely because they filed a workers' comp claim</w:t>
            </w:r>
          </w:p>
          <w:p>
            <w:pPr>
              <w:spacing w:before="0" w:after="60" w:line="276"/>
              <w:jc w:val="left"/>
            </w:pPr>
            <w:r>
              <w:rPr>
                <w:rFonts w:ascii="Arial" w:cs="Arial" w:eastAsia="Arial" w:hAnsi="Arial"/>
                <w:b w:val="false"/>
                <w:bCs w:val="false"/>
                <w:i w:val="false"/>
                <w:iCs w:val="false"/>
                <w:color w:val="2D2D2D"/>
                <w:sz w:val="21"/>
                <w:szCs w:val="21"/>
              </w:rPr>
              <w:t xml:space="preserve">Discuss the employee's medical condition with co-workers</w:t>
            </w:r>
          </w:p>
          <w:p>
            <w:pPr>
              <w:spacing w:before="0" w:after="60" w:line="276"/>
              <w:jc w:val="left"/>
            </w:pPr>
            <w:r>
              <w:rPr>
                <w:rFonts w:ascii="Arial" w:cs="Arial" w:eastAsia="Arial" w:hAnsi="Arial"/>
                <w:b w:val="false"/>
                <w:bCs w:val="false"/>
                <w:i w:val="false"/>
                <w:iCs w:val="false"/>
                <w:color w:val="2D2D2D"/>
                <w:sz w:val="21"/>
                <w:szCs w:val="21"/>
              </w:rPr>
              <w:t xml:space="preserve">Ask the employee about their prior workers' comp history outside of HR processes</w:t>
            </w:r>
          </w:p>
          <w:p>
            <w:pPr>
              <w:spacing w:before="0" w:after="60" w:line="276"/>
              <w:jc w:val="left"/>
            </w:pPr>
            <w:r>
              <w:rPr>
                <w:rFonts w:ascii="Arial" w:cs="Arial" w:eastAsia="Arial" w:hAnsi="Arial"/>
                <w:b w:val="false"/>
                <w:bCs w:val="false"/>
                <w:i w:val="false"/>
                <w:iCs w:val="false"/>
                <w:color w:val="2D2D2D"/>
                <w:sz w:val="21"/>
                <w:szCs w:val="21"/>
              </w:rPr>
              <w:t xml:space="preserve">Make promises about claim outcomes, benefits, or treatment coverage</w:t>
            </w:r>
          </w:p>
          <w:p>
            <w:pPr>
              <w:spacing w:before="0" w:after="60" w:line="276"/>
              <w:jc w:val="left"/>
            </w:pPr>
            <w:r>
              <w:rPr>
                <w:rFonts w:ascii="Arial" w:cs="Arial" w:eastAsia="Arial" w:hAnsi="Arial"/>
                <w:b w:val="false"/>
                <w:bCs w:val="false"/>
                <w:i w:val="false"/>
                <w:iCs w:val="false"/>
                <w:color w:val="2D2D2D"/>
                <w:sz w:val="21"/>
                <w:szCs w:val="21"/>
              </w:rPr>
              <w:t xml:space="preserve">Contact the MPN provider to express opinions about the employee's injury legitimacy</w:t>
            </w:r>
          </w:p>
        </w:tc>
      </w:tr>
    </w:tbl>
    <w:p>
      <w:pPr>
        <w:spacing w:before="0" w:after="10" w:line="276"/>
        <w:jc w:val="left"/>
      </w:pPr>
      <w:r>
        <w:rPr>
          <w:rFonts w:ascii="Arial" w:cs="Arial" w:eastAsia="Arial" w:hAnsi="Arial"/>
          <w:b w:val="false"/>
          <w:bCs w:val="false"/>
          <w:i w:val="false"/>
          <w:iCs w:val="false"/>
          <w:color w:val="2D2D2D"/>
          <w:sz w:val="22"/>
          <w:szCs w:val="22"/>
        </w:rPr>
        <w:t xml:space="preserve"/>
      </w:r>
    </w:p>
    <w:p>
      <w:pPr>
        <w:pStyle w:val="Heading2"/>
        <w:pBdr>
          <w:bottom w:val="single" w:color="C5972C" w:sz="6" w:space="3"/>
        </w:pBdr>
        <w:spacing w:before="240" w:after="100"/>
      </w:pPr>
      <w:r>
        <w:rPr>
          <w:rFonts w:ascii="Arial" w:cs="Arial" w:eastAsia="Arial" w:hAnsi="Arial"/>
          <w:b/>
          <w:bCs/>
          <w:color w:val="1B2A4A"/>
          <w:sz w:val="24"/>
          <w:szCs w:val="24"/>
        </w:rPr>
        <w:t xml:space="preserve">Privacy &amp; Confidentiality</w:t>
      </w:r>
    </w:p>
    <w:p>
      <w:pPr>
        <w:spacing w:before="0" w:after="100" w:line="276"/>
        <w:jc w:val="left"/>
      </w:pPr>
      <w:r>
        <w:rPr>
          <w:rFonts w:ascii="Arial" w:cs="Arial" w:eastAsia="Arial" w:hAnsi="Arial"/>
          <w:b w:val="false"/>
          <w:bCs w:val="false"/>
          <w:i w:val="false"/>
          <w:iCs w:val="false"/>
          <w:color w:val="2D2D2D"/>
          <w:sz w:val="22"/>
          <w:szCs w:val="22"/>
        </w:rPr>
        <w:t xml:space="preserve">Medical information obtained through the workers' compensation process is confidential. Supervisors may receive information about an employee's injury and restrictions — this information is shared on a need-to-know basis only.</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Share restriction information only with those who need it to assign appropriate work</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Do not discuss the employee's diagnosis, treatment, or prognosis with co-workers</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Do not post or display medical information in the workplace</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Store written restriction notes securely — not on a shared bulletin board or common desk</w:t>
      </w:r>
    </w:p>
    <w:p>
      <w:pPr>
        <w:spacing w:before="0" w:after="14" w:line="276"/>
        <w:jc w:val="left"/>
      </w:pPr>
      <w:r>
        <w:rPr>
          <w:rFonts w:ascii="Arial" w:cs="Arial" w:eastAsia="Arial" w:hAnsi="Arial"/>
          <w:b w:val="false"/>
          <w:bCs w:val="false"/>
          <w:i w:val="false"/>
          <w:iCs w:val="false"/>
          <w:color w:val="2D2D2D"/>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00"/>
        <w:gridCol w:w="9480"/>
      </w:tblGrid>
      <w:tr>
        <w:tc>
          <w:tcPr>
            <w:tcW w:type="dxa" w:w="600"/>
            <w:tcBorders>
              <w:top w:val="none" w:color="FFFFFF" w:sz="0"/>
              <w:left w:val="none" w:color="FFFFFF" w:sz="0"/>
              <w:bottom w:val="none" w:color="FFFFFF" w:sz="0"/>
              <w:right w:val="none" w:color="FFFFFF" w:sz="0"/>
            </w:tcBorders>
            <w:shd w:fill="C5972C" w:val="clear"/>
            <w:tcMar>
              <w:top w:type="dxa" w:w="80"/>
              <w:left w:type="dxa" w:w="120"/>
              <w:bottom w:type="dxa" w:w="80"/>
              <w:right w:type="dxa" w:w="120"/>
            </w:tcMar>
            <w:vAlign w:val="center"/>
          </w:tcPr>
          <w:p>
            <w:pPr>
              <w:spacing w:before="0" w:after="0"/>
              <w:jc w:val="center"/>
            </w:pPr>
            <w:r>
              <w:rPr>
                <w:rFonts w:ascii="Arial" w:cs="Arial" w:eastAsia="Arial" w:hAnsi="Arial"/>
                <w:b/>
                <w:bCs/>
                <w:color w:val="1B2A4A"/>
                <w:sz w:val="32"/>
                <w:szCs w:val="32"/>
              </w:rPr>
              <w:t xml:space="preserve">6</w:t>
            </w:r>
          </w:p>
        </w:tc>
        <w:tc>
          <w:tcPr>
            <w:tcW w:type="dxa" w:w="9480"/>
            <w:tcBorders>
              <w:top w:val="none" w:color="FFFFFF" w:sz="0"/>
              <w:left w:val="none" w:color="FFFFFF" w:sz="0"/>
              <w:bottom w:val="none" w:color="FFFFFF" w:sz="0"/>
              <w:right w:val="none" w:color="FFFFFF" w:sz="0"/>
            </w:tcBorders>
            <w:shd w:fill="1B2A4A" w:val="clear"/>
            <w:tcMar>
              <w:top w:type="dxa" w:w="80"/>
              <w:left w:type="dxa" w:w="160"/>
              <w:bottom w:type="dxa" w:w="80"/>
              <w:right w:type="dxa" w:w="120"/>
            </w:tcMar>
            <w:vAlign w:val="center"/>
          </w:tcPr>
          <w:p>
            <w:pPr>
              <w:spacing w:before="0" w:after="0"/>
            </w:pPr>
            <w:r>
              <w:rPr>
                <w:rFonts w:ascii="Arial" w:cs="Arial" w:eastAsia="Arial" w:hAnsi="Arial"/>
                <w:b/>
                <w:bCs/>
                <w:color w:val="FFFFFF"/>
                <w:sz w:val="24"/>
                <w:szCs w:val="24"/>
              </w:rPr>
              <w:t xml:space="preserve">QUICK REFERENCE CHECKLIST</w:t>
            </w:r>
          </w:p>
        </w:tc>
      </w:tr>
    </w:tbl>
    <w:p>
      <w:pPr>
        <w:spacing w:before="0" w:after="8" w:line="276"/>
        <w:jc w:val="left"/>
      </w:pPr>
      <w:r>
        <w:rPr>
          <w:rFonts w:ascii="Arial" w:cs="Arial" w:eastAsia="Arial" w:hAnsi="Arial"/>
          <w:b w:val="false"/>
          <w:bCs w:val="false"/>
          <w:i w:val="false"/>
          <w:iCs w:val="false"/>
          <w:color w:val="2D2D2D"/>
          <w:sz w:val="22"/>
          <w:szCs w:val="22"/>
        </w:rPr>
        <w:t xml:space="preserve"/>
      </w:r>
    </w:p>
    <w:p>
      <w:pPr>
        <w:spacing w:before="0" w:after="120" w:line="276"/>
        <w:jc w:val="left"/>
      </w:pPr>
      <w:r>
        <w:rPr>
          <w:rFonts w:ascii="Arial" w:cs="Arial" w:eastAsia="Arial" w:hAnsi="Arial"/>
          <w:b w:val="false"/>
          <w:bCs w:val="false"/>
          <w:i w:val="false"/>
          <w:iCs w:val="false"/>
          <w:color w:val="2D2D2D"/>
          <w:sz w:val="22"/>
          <w:szCs w:val="22"/>
        </w:rPr>
        <w:t xml:space="preserve">Use this checklist for every workplace injury. Keep a printed copy at your workstation.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00"/>
        <w:gridCol w:w="9480"/>
      </w:tblGrid>
      <w:tr>
        <w:tc>
          <w:tcPr>
            <w:tcW w:type="dxa" w:w="10080"/>
            <w:gridSpan w:val="2"/>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IMMEDIATE RESPONSE</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Ensure scene safety before approaching injured employee</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Administer first aid or call 911 if emergency</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Notify your manager and HR immediately</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Direct employee to MPN clinic with completed form</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Provide employee with MPN clinic address, phone, and your direct number</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Preserve and photograph the scene before anything is moved or cleaned</w:t>
            </w:r>
          </w:p>
        </w:tc>
      </w:tr>
      <w:tr>
        <w:tc>
          <w:tcPr>
            <w:tcW w:type="dxa" w:w="10080"/>
            <w:gridSpan w:val="2"/>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DOCUMENTATION</w:t>
            </w:r>
          </w:p>
        </w:tc>
      </w:tr>
      <w:tr>
        <w:tc>
          <w:tcPr>
            <w:tcW w:type="dxa" w:w="600"/>
            <w:tcBorders>
              <w:top w:val="single" w:color="CCCCCC" w:sz="4"/>
              <w:left w:val="single" w:color="CCCCCC" w:sz="4"/>
              <w:bottom w:val="single" w:color="CCCCCC" w:sz="4"/>
              <w:right w:val="single" w:color="CCCCCC" w:sz="4"/>
            </w:tcBorders>
            <w:shd w:fill="FBF3E2"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BF3E2"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Complete incident report within 24 hours (same shift preferred)</w:t>
            </w:r>
          </w:p>
        </w:tc>
      </w:tr>
      <w:tr>
        <w:tc>
          <w:tcPr>
            <w:tcW w:type="dxa" w:w="600"/>
            <w:tcBorders>
              <w:top w:val="single" w:color="CCCCCC" w:sz="4"/>
              <w:left w:val="single" w:color="CCCCCC" w:sz="4"/>
              <w:bottom w:val="single" w:color="CCCCCC" w:sz="4"/>
              <w:right w:val="single" w:color="CCCCCC" w:sz="4"/>
            </w:tcBorders>
            <w:shd w:fill="FBF3E2"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BF3E2"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Record exact time, location, task being performed, and witnesses</w:t>
            </w:r>
          </w:p>
        </w:tc>
      </w:tr>
      <w:tr>
        <w:tc>
          <w:tcPr>
            <w:tcW w:type="dxa" w:w="600"/>
            <w:tcBorders>
              <w:top w:val="single" w:color="CCCCCC" w:sz="4"/>
              <w:left w:val="single" w:color="CCCCCC" w:sz="4"/>
              <w:bottom w:val="single" w:color="CCCCCC" w:sz="4"/>
              <w:right w:val="single" w:color="CCCCCC" w:sz="4"/>
            </w:tcBorders>
            <w:shd w:fill="FBF3E2"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BF3E2"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Interview witnesses separately and document each account</w:t>
            </w:r>
          </w:p>
        </w:tc>
      </w:tr>
      <w:tr>
        <w:tc>
          <w:tcPr>
            <w:tcW w:type="dxa" w:w="600"/>
            <w:tcBorders>
              <w:top w:val="single" w:color="CCCCCC" w:sz="4"/>
              <w:left w:val="single" w:color="CCCCCC" w:sz="4"/>
              <w:bottom w:val="single" w:color="CCCCCC" w:sz="4"/>
              <w:right w:val="single" w:color="CCCCCC" w:sz="4"/>
            </w:tcBorders>
            <w:shd w:fill="FBF3E2"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BF3E2"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Note all first aid administered and by whom</w:t>
            </w:r>
          </w:p>
        </w:tc>
      </w:tr>
      <w:tr>
        <w:tc>
          <w:tcPr>
            <w:tcW w:type="dxa" w:w="600"/>
            <w:tcBorders>
              <w:top w:val="single" w:color="CCCCCC" w:sz="4"/>
              <w:left w:val="single" w:color="CCCCCC" w:sz="4"/>
              <w:bottom w:val="single" w:color="CCCCCC" w:sz="4"/>
              <w:right w:val="single" w:color="CCCCCC" w:sz="4"/>
            </w:tcBorders>
            <w:shd w:fill="FBF3E2"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BF3E2"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Confirm MPN clinic name and time employee was directed to care</w:t>
            </w:r>
          </w:p>
        </w:tc>
      </w:tr>
      <w:tr>
        <w:tc>
          <w:tcPr>
            <w:tcW w:type="dxa" w:w="600"/>
            <w:tcBorders>
              <w:top w:val="single" w:color="CCCCCC" w:sz="4"/>
              <w:left w:val="single" w:color="CCCCCC" w:sz="4"/>
              <w:bottom w:val="single" w:color="CCCCCC" w:sz="4"/>
              <w:right w:val="single" w:color="CCCCCC" w:sz="4"/>
            </w:tcBorders>
            <w:shd w:fill="FBF3E2"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BF3E2"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Preserve any physical evidence and save surveillance footage if available</w:t>
            </w:r>
          </w:p>
        </w:tc>
      </w:tr>
      <w:tr>
        <w:tc>
          <w:tcPr>
            <w:tcW w:type="dxa" w:w="10080"/>
            <w:gridSpan w:val="2"/>
            <w:tcBorders>
              <w:top w:val="single" w:color="1B2A4A" w:sz="6"/>
              <w:left w:val="single" w:color="1B2A4A" w:sz="6"/>
              <w:bottom w:val="single" w:color="1B2A4A" w:sz="6"/>
              <w:right w:val="single" w:color="1B2A4A" w:sz="6"/>
            </w:tcBorders>
            <w:shd w:fill="1B2A4A" w:val="clear"/>
            <w:tcMar>
              <w:top w:type="dxa" w:w="80"/>
              <w:left w:type="dxa" w:w="120"/>
              <w:bottom w:type="dxa" w:w="80"/>
              <w:right w:type="dxa" w:w="120"/>
            </w:tcMar>
          </w:tcPr>
          <w:p>
            <w:pPr>
              <w:spacing w:before="0" w:after="0"/>
            </w:pPr>
            <w:r>
              <w:rPr>
                <w:rFonts w:ascii="Arial" w:cs="Arial" w:eastAsia="Arial" w:hAnsi="Arial"/>
                <w:b/>
                <w:bCs/>
                <w:color w:val="FFFFFF"/>
                <w:sz w:val="21"/>
                <w:szCs w:val="21"/>
              </w:rPr>
              <w:t xml:space="preserve">AFTER TREATMENT</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Obtain work status note from employee after first appointment</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Review restrictions carefully — understand exactly what is limited</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Identify modified duty tasks consistent with restrictions</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Confirm modified duty assignment in writing with employee signature</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Contact employee daily during first week to check wellbeing</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Update HR and adjuster if restrictions change at any appointment</w:t>
            </w:r>
          </w:p>
        </w:tc>
      </w:tr>
      <w:tr>
        <w:tc>
          <w:tcPr>
            <w:tcW w:type="dxa" w:w="600"/>
            <w:tcBorders>
              <w:top w:val="single" w:color="CCCCCC" w:sz="4"/>
              <w:left w:val="single" w:color="CCCCCC" w:sz="4"/>
              <w:bottom w:val="single" w:color="CCCCCC" w:sz="4"/>
              <w:right w:val="single" w:color="CCCCCC" w:sz="4"/>
            </w:tcBorders>
            <w:shd w:fill="F0F3F8" w:val="clear"/>
            <w:tcMar>
              <w:top w:type="dxa" w:w="80"/>
              <w:left w:type="dxa" w:w="120"/>
              <w:bottom w:type="dxa" w:w="80"/>
              <w:right w:type="dxa" w:w="120"/>
            </w:tcMar>
            <w:vAlign w:val="center"/>
          </w:tcPr>
          <w:p>
            <w:pPr>
              <w:spacing w:before="0" w:after="0"/>
              <w:jc w:val="center"/>
            </w:pPr>
            <w:r>
              <w:rPr>
                <w:rFonts w:ascii="Arial" w:cs="Arial" w:eastAsia="Arial" w:hAnsi="Arial"/>
                <w:color w:val="1B2A4A"/>
                <w:sz w:val="24"/>
                <w:szCs w:val="24"/>
              </w:rPr>
              <w:t xml:space="preserve">□</w:t>
            </w:r>
          </w:p>
        </w:tc>
        <w:tc>
          <w:tcPr>
            <w:tcW w:type="dxa" w:w="9480"/>
            <w:tcBorders>
              <w:top w:val="single" w:color="CCCCCC" w:sz="4"/>
              <w:left w:val="single" w:color="CCCCCC" w:sz="4"/>
              <w:bottom w:val="single" w:color="CCCCCC" w:sz="4"/>
              <w:right w:val="single" w:color="CCCCCC" w:sz="4"/>
            </w:tcBorders>
            <w:shd w:fill="F0F3F8" w:val="clear"/>
            <w:tcMar>
              <w:top w:type="dxa" w:w="80"/>
              <w:left w:type="dxa" w:w="160"/>
              <w:bottom w:type="dxa" w:w="80"/>
              <w:right w:type="dxa" w:w="120"/>
            </w:tcMar>
          </w:tcPr>
          <w:p>
            <w:pPr>
              <w:spacing w:before="0" w:after="120" w:line="276"/>
              <w:jc w:val="left"/>
            </w:pPr>
            <w:r>
              <w:rPr>
                <w:rFonts w:ascii="Arial" w:cs="Arial" w:eastAsia="Arial" w:hAnsi="Arial"/>
                <w:b w:val="false"/>
                <w:bCs w:val="false"/>
                <w:i w:val="false"/>
                <w:iCs w:val="false"/>
                <w:color w:val="2D2D2D"/>
                <w:sz w:val="21"/>
                <w:szCs w:val="21"/>
              </w:rPr>
              <w:t xml:space="preserve">Never assign work that approaches or exceeds stated restrictions</w:t>
            </w:r>
          </w:p>
        </w:tc>
      </w:tr>
    </w:tbl>
    <w:p>
      <w:pPr>
        <w:spacing w:before="0" w:after="14" w:line="276"/>
        <w:jc w:val="left"/>
      </w:pPr>
      <w:r>
        <w:rPr>
          <w:rFonts w:ascii="Arial" w:cs="Arial" w:eastAsia="Arial" w:hAnsi="Arial"/>
          <w:b w:val="false"/>
          <w:bCs w:val="false"/>
          <w:i w:val="false"/>
          <w:iCs w:val="false"/>
          <w:color w:val="2D2D2D"/>
          <w:sz w:val="22"/>
          <w:szCs w:val="22"/>
        </w:rPr>
        <w:t xml:space="preserve"/>
      </w:r>
    </w:p>
    <w:p>
      <w:pPr>
        <w:pStyle w:val="Heading2"/>
        <w:pageBreakBefore/>
        <w:pBdr>
          <w:bottom w:val="single" w:color="C5972C" w:sz="6" w:space="3"/>
        </w:pBdr>
        <w:spacing w:before="240" w:after="100"/>
      </w:pPr>
      <w:r>
        <w:rPr>
          <w:rFonts w:ascii="Arial" w:cs="Arial" w:eastAsia="Arial" w:hAnsi="Arial"/>
          <w:b/>
          <w:bCs/>
          <w:color w:val="1B2A4A"/>
          <w:sz w:val="24"/>
          <w:szCs w:val="24"/>
        </w:rPr>
        <w:t xml:space="preserve">When to Escalate Immediately</w:t>
      </w:r>
    </w:p>
    <w:p>
      <w:pPr>
        <w:spacing w:before="0" w:after="80" w:line="276"/>
        <w:jc w:val="left"/>
      </w:pPr>
      <w:r>
        <w:rPr>
          <w:rFonts w:ascii="Arial" w:cs="Arial" w:eastAsia="Arial" w:hAnsi="Arial"/>
          <w:b w:val="false"/>
          <w:bCs w:val="false"/>
          <w:i w:val="false"/>
          <w:iCs w:val="false"/>
          <w:color w:val="2D2D2D"/>
          <w:sz w:val="22"/>
          <w:szCs w:val="22"/>
        </w:rPr>
        <w:t xml:space="preserve">Contact HR or your Risk Manager immediately when:</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The injury requires hospitalization or surgery</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The employee has retained an attorney</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The employee refuses to go to the MPN clinic</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You have concerns about the validity or circumstances of the claim</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The employee is not following work restrictions</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A co-worker is pressuring the injured employee about their claim</w:t>
      </w:r>
    </w:p>
    <w:p>
      <w:pPr>
        <w:pStyle w:val="ListParagraph"/>
        <w:numPr>
          <w:ilvl w:val="0"/>
          <w:numId w:val="2"/>
        </w:numPr>
        <w:spacing w:before="40" w:after="60"/>
      </w:pPr>
      <w:r>
        <w:rPr>
          <w:rFonts w:ascii="Arial" w:cs="Arial" w:eastAsia="Arial" w:hAnsi="Arial"/>
          <w:b w:val="false"/>
          <w:bCs w:val="false"/>
          <w:i w:val="false"/>
          <w:iCs w:val="false"/>
          <w:color w:val="2D2D2D"/>
          <w:sz w:val="22"/>
          <w:szCs w:val="22"/>
        </w:rPr>
        <w:t xml:space="preserve">You receive any legal documents, summons, or demand letters</w:t>
      </w:r>
    </w:p>
    <w:p>
      <w:pPr>
        <w:spacing w:before="0" w:after="14" w:line="276"/>
        <w:jc w:val="left"/>
      </w:pPr>
      <w:r>
        <w:rPr>
          <w:rFonts w:ascii="Arial" w:cs="Arial" w:eastAsia="Arial" w:hAnsi="Arial"/>
          <w:b w:val="false"/>
          <w:bCs w:val="false"/>
          <w:i w:val="false"/>
          <w:iCs w:val="false"/>
          <w:color w:val="2D2D2D"/>
          <w:sz w:val="22"/>
          <w:szCs w:val="22"/>
        </w:rPr>
        <w:t xml:space="preserve"/>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C5972C" w:sz="8"/>
              <w:left w:val="single" w:color="C5972C" w:sz="8"/>
              <w:bottom w:val="single" w:color="C5972C" w:sz="8"/>
              <w:right w:val="single" w:color="C5972C" w:sz="8"/>
            </w:tcBorders>
            <w:shd w:fill="1B2A4A" w:val="clear"/>
            <w:tcMar>
              <w:top w:type="dxa" w:w="180"/>
              <w:left w:type="dxa" w:w="240"/>
              <w:bottom w:type="dxa" w:w="180"/>
              <w:right w:type="dxa" w:w="240"/>
            </w:tcMar>
          </w:tcPr>
          <w:p>
            <w:pPr>
              <w:spacing w:before="0" w:after="80"/>
              <w:jc w:val="center"/>
            </w:pPr>
            <w:r>
              <w:rPr>
                <w:rFonts w:ascii="Arial" w:cs="Arial" w:eastAsia="Arial" w:hAnsi="Arial"/>
                <w:b/>
                <w:bCs/>
                <w:color w:val="C5972C"/>
                <w:sz w:val="26"/>
                <w:szCs w:val="26"/>
              </w:rPr>
              <w:t xml:space="preserve">Questions About Your Workers' Compensation Program?</w:t>
            </w:r>
          </w:p>
          <w:p>
            <w:pPr>
              <w:spacing w:before="0" w:after="60"/>
              <w:jc w:val="center"/>
            </w:pPr>
            <w:r>
              <w:rPr>
                <w:rFonts w:ascii="Arial" w:cs="Arial" w:eastAsia="Arial" w:hAnsi="Arial"/>
                <w:color w:val="FFFFFF"/>
                <w:sz w:val="21"/>
                <w:szCs w:val="21"/>
              </w:rPr>
              <w:t xml:space="preserve">First Underwriters Insurance Brokers specializes in helping Pacific Northwest businesses</w:t>
            </w:r>
          </w:p>
          <w:p>
            <w:pPr>
              <w:spacing w:before="0" w:after="120"/>
              <w:jc w:val="center"/>
            </w:pPr>
            <w:r>
              <w:rPr>
                <w:rFonts w:ascii="Arial" w:cs="Arial" w:eastAsia="Arial" w:hAnsi="Arial"/>
                <w:color w:val="FFFFFF"/>
                <w:sz w:val="21"/>
                <w:szCs w:val="21"/>
              </w:rPr>
              <w:t xml:space="preserve">build workers' compensation programs that protect employees and control costs.</w:t>
            </w:r>
          </w:p>
          <w:p>
            <w:pPr>
              <w:spacing w:before="0" w:after="0"/>
              <w:jc w:val="center"/>
            </w:pPr>
            <w:r>
              <w:rPr>
                <w:rFonts w:ascii="Arial" w:cs="Arial" w:eastAsia="Arial" w:hAnsi="Arial"/>
                <w:b/>
                <w:bCs/>
                <w:color w:val="C5972C"/>
                <w:sz w:val="22"/>
                <w:szCs w:val="22"/>
              </w:rPr>
              <w:t xml:space="preserve">(425) 242-5357   |   info@firstunderwriters.com   |   firstunderwriters.com</w:t>
            </w:r>
          </w:p>
        </w:tc>
      </w:tr>
    </w:tbl>
    <w:sectPr>
      <w:headerReference w:type="default" r:id="rId6"/>
      <w:footerReference w:type="default" r:id="rId7"/>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5972C" w:sz="6"/>
      </w:pBdr>
      <w:tabs>
        <w:tab w:val="right" w:pos="10080"/>
      </w:tabs>
      <w:spacing w:before="40" w:after="0"/>
    </w:pPr>
    <w:r>
      <w:rPr>
        <w:rFonts w:ascii="Arial" w:cs="Arial" w:eastAsia="Arial" w:hAnsi="Arial"/>
        <w:color w:val="6B7280"/>
        <w:sz w:val="16"/>
        <w:szCs w:val="16"/>
      </w:rPr>
      <w:t xml:space="preserve">© 2026 First Underwriters Insurance Brokers  |  Kirkland, WA 98033</w:t>
    </w:r>
    <w:r>
      <w:rPr>
        <w:rFonts w:ascii="Arial" w:cs="Arial" w:eastAsia="Arial" w:hAnsi="Arial"/>
        <w:color w:val="6B7280"/>
        <w:sz w:val="16"/>
        <w:szCs w:val="16"/>
      </w:rPr>
      <w:t xml:space="preserve">	Page </w:t>
    </w:r>
    <w:r>
      <w:rPr>
        <w:rFonts w:ascii="Arial" w:cs="Arial" w:eastAsia="Arial" w:hAnsi="Arial"/>
        <w:color w:val="6B7280"/>
        <w:sz w:val="16"/>
        <w:szCs w:val="16"/>
      </w:rPr>
      <w:t xml:space="preserv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6048"/>
      <w:gridCol w:w="4032"/>
    </w:tblGrid>
    <w:tr>
      <w:tc>
        <w:tcPr>
          <w:tcW w:type="dxa" w:w="6048"/>
          <w:tcBorders>
            <w:top w:val="none" w:color="FFFFFF" w:sz="0"/>
            <w:left w:val="none" w:color="FFFFFF" w:sz="0"/>
            <w:bottom w:val="single" w:color="C5972C" w:sz="8"/>
            <w:right w:val="none" w:color="FFFFFF" w:sz="0"/>
          </w:tcBorders>
          <w:shd w:fill="1B2A4A" w:val="clear"/>
          <w:tcMar>
            <w:top w:type="dxa" w:w="80"/>
            <w:left w:type="dxa" w:w="160"/>
            <w:bottom w:type="dxa" w:w="80"/>
            <w:right w:type="dxa" w:w="120"/>
          </w:tcMar>
        </w:tcPr>
        <w:p>
          <w:pPr>
            <w:spacing w:before="0" w:after="0"/>
          </w:pPr>
          <w:r>
            <w:rPr>
              <w:rFonts w:ascii="Arial" w:cs="Arial" w:eastAsia="Arial" w:hAnsi="Arial"/>
              <w:b/>
              <w:bCs/>
              <w:color w:val="C5972C"/>
              <w:sz w:val="16"/>
              <w:szCs w:val="16"/>
            </w:rPr>
            <w:t xml:space="preserve">FIRST UNDERWRITERS INSURANCE BROKERS</w:t>
          </w:r>
        </w:p>
        <w:p>
          <w:pPr>
            <w:spacing w:before="0" w:after="0"/>
          </w:pPr>
          <w:r>
            <w:rPr>
              <w:rFonts w:ascii="Arial" w:cs="Arial" w:eastAsia="Arial" w:hAnsi="Arial"/>
              <w:b/>
              <w:bCs/>
              <w:color w:val="FFFFFF"/>
              <w:sz w:val="18"/>
              <w:szCs w:val="18"/>
            </w:rPr>
            <w:t xml:space="preserve">MPN Supervisor Training Guide</w:t>
          </w:r>
        </w:p>
      </w:tc>
      <w:tc>
        <w:tcPr>
          <w:tcW w:type="dxa" w:w="4032"/>
          <w:tcBorders>
            <w:top w:val="none" w:color="FFFFFF" w:sz="0"/>
            <w:left w:val="none" w:color="FFFFFF" w:sz="0"/>
            <w:bottom w:val="single" w:color="C5972C" w:sz="8"/>
            <w:right w:val="none" w:color="FFFFFF" w:sz="0"/>
          </w:tcBorders>
          <w:shd w:fill="1B2A4A" w:val="clear"/>
          <w:tcMar>
            <w:top w:type="dxa" w:w="80"/>
            <w:left w:type="dxa" w:w="120"/>
            <w:bottom w:type="dxa" w:w="80"/>
            <w:right w:type="dxa" w:w="160"/>
          </w:tcMar>
          <w:vAlign w:val="center"/>
        </w:tcPr>
        <w:p>
          <w:pPr>
            <w:spacing w:before="0" w:after="0"/>
            <w:jc w:val="right"/>
          </w:pPr>
          <w:r>
            <w:rPr>
              <w:rFonts w:ascii="Arial" w:cs="Arial" w:eastAsia="Arial" w:hAnsi="Arial"/>
              <w:color w:val="FFFFFF"/>
              <w:sz w:val="16"/>
              <w:szCs w:val="16"/>
            </w:rPr>
            <w:t xml:space="preserve">Workers' Compensation Injury Response</w:t>
          </w:r>
        </w:p>
        <w:p>
          <w:pPr>
            <w:spacing w:before="0" w:after="0"/>
            <w:jc w:val="right"/>
          </w:pPr>
          <w:r>
            <w:rPr>
              <w:rFonts w:ascii="Arial" w:cs="Arial" w:eastAsia="Arial" w:hAnsi="Arial"/>
              <w:color w:val="C5972C"/>
              <w:sz w:val="16"/>
              <w:szCs w:val="16"/>
            </w:rPr>
            <w:t xml:space="preserve">(425) 242-5357  |  firstunderwriters.com</w:t>
          </w:r>
        </w:p>
      </w:tc>
    </w:tr>
  </w:tbl>
  <w:p>
    <w:pPr>
      <w:spacing w:before="0" w:after="4" w:line="276"/>
      <w:jc w:val="left"/>
    </w:pPr>
    <w:r>
      <w:rPr>
        <w:rFonts w:ascii="Arial" w:cs="Arial" w:eastAsia="Arial" w:hAnsi="Arial"/>
        <w:b w:val="false"/>
        <w:bCs w:val="false"/>
        <w:i w:val="false"/>
        <w:iCs w:val="false"/>
        <w:color w:val="2D2D2D"/>
        <w:sz w:val="22"/>
        <w:szCs w:val="22"/>
      </w:rPr>
      <w:t xml:space="preserv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spacing w:before="40" w:after="60"/>
        <w:ind w:left="560" w:hanging="280"/>
      </w:pPr>
      <w:rPr>
        <w:rFonts w:ascii="Arial" w:cs="Arial" w:eastAsia="Arial" w:hAnsi="Arial"/>
        <w:sz w:val="22"/>
        <w:szCs w:val="22"/>
      </w:rPr>
    </w:lvl>
  </w:abstractNum>
  <w:abstractNum w:abstractNumId="3" w15:restartNumberingAfterBreak="0">
    <w:multiLevelType w:val="hybridMultilevel"/>
    <w:lvl w:ilvl="0" w15:tentative="1">
      <w:start w:val="1"/>
      <w:numFmt w:val="bullet"/>
      <w:lvlText w:val="◦"/>
      <w:lvlJc w:val="left"/>
      <w:pPr>
        <w:spacing w:before="30" w:after="40"/>
        <w:ind w:left="1000" w:hanging="280"/>
      </w:pPr>
      <w:rPr>
        <w:rFonts w:ascii="Arial" w:cs="Arial" w:eastAsia="Arial" w:hAnsi="Arial"/>
        <w:sz w:val="22"/>
        <w:szCs w:val="22"/>
      </w:rPr>
    </w:lvl>
  </w:abstractNum>
  <w:abstractNum w:abstractNumId="4" w15:restartNumberingAfterBreak="0">
    <w:multiLevelType w:val="hybridMultilevel"/>
    <w:lvl w:ilvl="0" w15:tentative="1">
      <w:start w:val="1"/>
      <w:numFmt w:val="decimal"/>
      <w:lvlText w:val="%1."/>
      <w:lvlJc w:val="left"/>
      <w:pPr>
        <w:spacing w:before="60" w:after="80"/>
        <w:ind w:left="560" w:hanging="280"/>
      </w:pPr>
      <w:rPr>
        <w:rFonts w:ascii="Arial" w:cs="Arial" w:eastAsia="Arial" w:hAnsi="Arial"/>
        <w:sz w:val="22"/>
        <w:szCs w:val="22"/>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20" w:after="120"/>
      <w:outlineLvl w:val="0"/>
    </w:pPr>
    <w:rPr>
      <w:rFonts w:ascii="Arial" w:cs="Arial" w:eastAsia="Arial" w:hAnsi="Arial"/>
      <w:b/>
      <w:bCs/>
      <w:color w:val="FFFFFF"/>
      <w:sz w:val="28"/>
      <w:szCs w:val="28"/>
    </w:rPr>
  </w:style>
  <w:style w:type="paragraph" w:styleId="Heading2">
    <w:name w:val="Heading 2"/>
    <w:basedOn w:val="Normal"/>
    <w:next w:val="Normal"/>
    <w:qFormat/>
    <w:pPr>
      <w:spacing w:before="240" w:after="100"/>
      <w:outlineLvl w:val="1"/>
    </w:pPr>
    <w:rPr>
      <w:rFonts w:ascii="Arial" w:cs="Arial" w:eastAsia="Arial" w:hAnsi="Arial"/>
      <w:b/>
      <w:bCs/>
      <w:color w:val="1B2A4A"/>
      <w:sz w:val="24"/>
      <w:szCs w:val="24"/>
    </w:rPr>
  </w:style>
  <w:style w:type="paragraph" w:styleId="Heading3">
    <w:name w:val="Heading 3"/>
    <w:basedOn w:val="Normal"/>
    <w:next w:val="Normal"/>
    <w:qFormat/>
    <w:pPr>
      <w:spacing w:before="180" w:after="80"/>
      <w:outlineLvl w:val="2"/>
    </w:pPr>
    <w:rPr>
      <w:rFonts w:ascii="Arial" w:cs="Arial" w:eastAsia="Arial" w:hAnsi="Arial"/>
      <w:b/>
      <w:bCs/>
      <w:color w:val="1B2A4A"/>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2026-03-08T16:08:07.239Z</dcterms:created>
  <dcterms:modified xsi:type="dcterms:W3CDTF">2026-03-08T16:08:07.240Z</dcterms:modified>
</cp:coreProperties>
</file>

<file path=docProps/custom.xml><?xml version="1.0" encoding="utf-8"?>
<Properties xmlns="http://schemas.openxmlformats.org/officeDocument/2006/custom-properties" xmlns:vt="http://schemas.openxmlformats.org/officeDocument/2006/docPropsVTypes"/>
</file>